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eastAsiaTheme="minorHAnsi" w:hAnsi="Arial" w:cs="Arial"/>
          <w:sz w:val="20"/>
          <w:szCs w:val="20"/>
          <w:lang w:val="es-BO"/>
        </w:rPr>
        <w:id w:val="1230031541"/>
        <w:docPartObj>
          <w:docPartGallery w:val="Cover Pages"/>
          <w:docPartUnique/>
        </w:docPartObj>
      </w:sdtPr>
      <w:sdtEndPr/>
      <w:sdtContent>
        <w:p w:rsidR="00143EA8" w:rsidRPr="00314D3E" w:rsidRDefault="00143EA8" w:rsidP="00314D3E">
          <w:pPr>
            <w:pStyle w:val="Sinespaciado"/>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center"/>
            <w:rPr>
              <w:rFonts w:ascii="Arial" w:hAnsi="Arial" w:cs="Arial"/>
              <w:sz w:val="20"/>
              <w:szCs w:val="20"/>
            </w:rPr>
          </w:pPr>
          <w:r w:rsidRPr="00314D3E">
            <w:rPr>
              <w:rFonts w:ascii="Arial" w:hAnsi="Arial" w:cs="Arial"/>
              <w:noProof/>
              <w:sz w:val="20"/>
              <w:szCs w:val="20"/>
              <w:lang w:eastAsia="es-BO"/>
            </w:rPr>
            <w:drawing>
              <wp:inline distT="0" distB="0" distL="0" distR="0">
                <wp:extent cx="3752850" cy="1701165"/>
                <wp:effectExtent l="0" t="0" r="0" b="0"/>
                <wp:docPr id="5" name="Imagen 2" descr="Description: L:\Material\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Description: L:\Material\1.jpg"/>
                        <pic:cNvPicPr>
                          <a:picLocks noChangeAspect="1" noChangeArrowheads="1"/>
                        </pic:cNvPicPr>
                      </pic:nvPicPr>
                      <pic:blipFill>
                        <a:blip r:embed="rId8">
                          <a:extLst>
                            <a:ext uri="{28A0092B-C50C-407E-A947-70E740481C1C}">
                              <a14:useLocalDpi xmlns:a14="http://schemas.microsoft.com/office/drawing/2010/main" val="0"/>
                            </a:ext>
                          </a:extLst>
                        </a:blip>
                        <a:srcRect l="35237" t="2480" r="38725" b="88356"/>
                        <a:stretch>
                          <a:fillRect/>
                        </a:stretch>
                      </pic:blipFill>
                      <pic:spPr bwMode="auto">
                        <a:xfrm>
                          <a:off x="0" y="0"/>
                          <a:ext cx="3752850" cy="1701165"/>
                        </a:xfrm>
                        <a:prstGeom prst="rect">
                          <a:avLst/>
                        </a:prstGeom>
                        <a:noFill/>
                        <a:ln>
                          <a:noFill/>
                        </a:ln>
                      </pic:spPr>
                    </pic:pic>
                  </a:graphicData>
                </a:graphic>
              </wp:inline>
            </w:drawing>
          </w: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both"/>
            <w:rPr>
              <w:rFonts w:ascii="Arial" w:hAnsi="Arial" w:cs="Arial"/>
              <w:sz w:val="20"/>
              <w:szCs w:val="20"/>
            </w:rPr>
          </w:pPr>
        </w:p>
        <w:p w:rsidR="00143EA8" w:rsidRPr="00314D3E" w:rsidRDefault="00143EA8" w:rsidP="00314D3E">
          <w:pPr>
            <w:jc w:val="center"/>
            <w:rPr>
              <w:rFonts w:ascii="Arial" w:hAnsi="Arial" w:cs="Arial"/>
              <w:b/>
              <w:sz w:val="20"/>
              <w:szCs w:val="20"/>
            </w:rPr>
          </w:pPr>
          <w:r w:rsidRPr="00314D3E">
            <w:rPr>
              <w:rFonts w:ascii="Arial" w:hAnsi="Arial" w:cs="Arial"/>
              <w:b/>
              <w:sz w:val="20"/>
              <w:szCs w:val="20"/>
            </w:rPr>
            <w:t>ANEXO:</w:t>
          </w:r>
        </w:p>
        <w:p w:rsidR="00143EA8" w:rsidRPr="00314D3E" w:rsidRDefault="00143EA8" w:rsidP="00314D3E">
          <w:pPr>
            <w:jc w:val="center"/>
            <w:rPr>
              <w:rFonts w:ascii="Arial" w:hAnsi="Arial" w:cs="Arial"/>
              <w:b/>
              <w:sz w:val="20"/>
              <w:szCs w:val="20"/>
            </w:rPr>
          </w:pPr>
        </w:p>
        <w:p w:rsidR="00143EA8" w:rsidRPr="00314D3E" w:rsidRDefault="00143EA8" w:rsidP="00314D3E">
          <w:pPr>
            <w:jc w:val="center"/>
            <w:rPr>
              <w:rFonts w:ascii="Arial" w:hAnsi="Arial" w:cs="Arial"/>
              <w:color w:val="323E4F" w:themeColor="text2" w:themeShade="BF"/>
              <w:sz w:val="20"/>
              <w:szCs w:val="20"/>
              <w:lang w:eastAsia="es-ES"/>
            </w:rPr>
          </w:pPr>
          <w:r w:rsidRPr="00314D3E">
            <w:rPr>
              <w:rFonts w:ascii="Arial" w:hAnsi="Arial" w:cs="Arial"/>
              <w:color w:val="323E4F" w:themeColor="text2" w:themeShade="BF"/>
              <w:sz w:val="20"/>
              <w:szCs w:val="20"/>
              <w:lang w:eastAsia="es-ES"/>
            </w:rPr>
            <w:t>ANEXO PARA INSPECTORES API 653 y API 510</w:t>
          </w:r>
        </w:p>
        <w:p w:rsidR="00143EA8" w:rsidRPr="00314D3E" w:rsidRDefault="00143EA8" w:rsidP="00314D3E">
          <w:pPr>
            <w:jc w:val="center"/>
            <w:rPr>
              <w:rFonts w:ascii="Arial" w:hAnsi="Arial" w:cs="Arial"/>
              <w:b/>
              <w:bCs/>
              <w:smallCaps/>
              <w:color w:val="000000" w:themeColor="text1"/>
              <w:sz w:val="20"/>
              <w:szCs w:val="20"/>
              <w:lang w:eastAsia="es-ES"/>
            </w:rPr>
          </w:pPr>
          <w:r w:rsidRPr="00314D3E">
            <w:rPr>
              <w:rFonts w:ascii="Arial" w:hAnsi="Arial" w:cs="Arial"/>
              <w:b/>
              <w:bCs/>
              <w:smallCaps/>
              <w:color w:val="000000" w:themeColor="text1"/>
              <w:sz w:val="20"/>
              <w:szCs w:val="20"/>
              <w:lang w:eastAsia="es-ES"/>
            </w:rPr>
            <w:t>INSPECCIÓN PARA TANQUES ATMOSFÉRICOS Y RECIPIENTES A PRESIÓN</w:t>
          </w:r>
        </w:p>
        <w:p w:rsidR="00143EA8" w:rsidRPr="00314D3E" w:rsidRDefault="00143EA8" w:rsidP="00314D3E">
          <w:pPr>
            <w:jc w:val="both"/>
            <w:rPr>
              <w:rFonts w:ascii="Arial" w:eastAsia="Times New Roman" w:hAnsi="Arial" w:cs="Arial"/>
              <w:b/>
              <w:caps/>
              <w:snapToGrid w:val="0"/>
              <w:color w:val="000000" w:themeColor="text1"/>
              <w:kern w:val="28"/>
              <w:sz w:val="20"/>
              <w:szCs w:val="20"/>
              <w:lang w:val="es-ES"/>
            </w:rPr>
          </w:pPr>
          <w:r w:rsidRPr="00314D3E">
            <w:rPr>
              <w:rFonts w:ascii="Arial" w:hAnsi="Arial" w:cs="Arial"/>
              <w:sz w:val="20"/>
              <w:szCs w:val="20"/>
            </w:rPr>
            <w:br w:type="page"/>
          </w:r>
        </w:p>
      </w:sdtContent>
    </w:sdt>
    <w:p w:rsidR="00293C0D" w:rsidRPr="00314D3E" w:rsidRDefault="00AE5DE4" w:rsidP="00314D3E">
      <w:pPr>
        <w:pStyle w:val="TITULO1"/>
        <w:rPr>
          <w:rFonts w:ascii="Arial" w:hAnsi="Arial" w:cs="Arial"/>
          <w:sz w:val="20"/>
        </w:rPr>
      </w:pPr>
      <w:r w:rsidRPr="00314D3E">
        <w:rPr>
          <w:rFonts w:ascii="Arial" w:hAnsi="Arial" w:cs="Arial"/>
          <w:sz w:val="20"/>
        </w:rPr>
        <w:lastRenderedPageBreak/>
        <w:t>INSPECTOR API 653</w:t>
      </w:r>
    </w:p>
    <w:p w:rsidR="00AE5DE4" w:rsidRPr="00314D3E" w:rsidRDefault="00AE5DE4" w:rsidP="00314D3E">
      <w:pPr>
        <w:pStyle w:val="Ttulo1"/>
        <w:spacing w:after="240" w:line="240" w:lineRule="auto"/>
        <w:ind w:left="431" w:hanging="431"/>
        <w:rPr>
          <w:rFonts w:ascii="Arial" w:hAnsi="Arial" w:cs="Arial"/>
          <w:sz w:val="20"/>
        </w:rPr>
      </w:pPr>
      <w:bookmarkStart w:id="0" w:name="_Toc144372739"/>
      <w:r w:rsidRPr="00314D3E">
        <w:rPr>
          <w:rFonts w:ascii="Arial" w:hAnsi="Arial" w:cs="Arial"/>
          <w:sz w:val="20"/>
        </w:rPr>
        <w:t>DESCRIPCIÓN DEL ALCANCE DEL SERVICIO</w:t>
      </w:r>
      <w:bookmarkEnd w:id="0"/>
    </w:p>
    <w:p w:rsidR="00AE5DE4" w:rsidRPr="00314D3E" w:rsidRDefault="00AE5DE4" w:rsidP="00314D3E">
      <w:pPr>
        <w:pStyle w:val="Norma"/>
        <w:rPr>
          <w:rFonts w:ascii="Arial" w:hAnsi="Arial" w:cs="Arial"/>
          <w:sz w:val="20"/>
          <w:szCs w:val="20"/>
        </w:rPr>
      </w:pPr>
      <w:r w:rsidRPr="00314D3E">
        <w:rPr>
          <w:rFonts w:ascii="Arial" w:hAnsi="Arial" w:cs="Arial"/>
          <w:sz w:val="20"/>
          <w:szCs w:val="20"/>
          <w:lang w:val="es-ES"/>
        </w:rPr>
        <w:t xml:space="preserve">El inspector </w:t>
      </w:r>
      <w:r w:rsidRPr="00314D3E">
        <w:rPr>
          <w:rFonts w:ascii="Arial" w:hAnsi="Arial" w:cs="Arial"/>
          <w:sz w:val="20"/>
          <w:szCs w:val="20"/>
        </w:rPr>
        <w:t>debe asegurar que todas las tareas de inspección y evaluación de resultados sean realizadas de acuerdo a lo requerido en el código API-653.</w:t>
      </w:r>
      <w:bookmarkStart w:id="1" w:name="_Toc97582558"/>
    </w:p>
    <w:p w:rsidR="00AE5DE4" w:rsidRPr="00314D3E" w:rsidRDefault="00AE5DE4" w:rsidP="00314D3E">
      <w:pPr>
        <w:pStyle w:val="Ttulo2"/>
        <w:rPr>
          <w:rFonts w:ascii="Arial" w:hAnsi="Arial" w:cs="Arial"/>
          <w:i/>
          <w:sz w:val="20"/>
          <w:szCs w:val="20"/>
        </w:rPr>
      </w:pPr>
      <w:bookmarkStart w:id="2" w:name="_Toc144372740"/>
      <w:r w:rsidRPr="00314D3E">
        <w:rPr>
          <w:rFonts w:ascii="Arial" w:hAnsi="Arial" w:cs="Arial"/>
          <w:sz w:val="20"/>
          <w:szCs w:val="20"/>
        </w:rPr>
        <w:t>INSPECCIÓN GENERAL</w:t>
      </w:r>
      <w:bookmarkEnd w:id="1"/>
      <w:bookmarkEnd w:id="2"/>
    </w:p>
    <w:p w:rsidR="00AE5DE4" w:rsidRPr="00314D3E" w:rsidRDefault="00AE5DE4" w:rsidP="00314D3E">
      <w:pPr>
        <w:pStyle w:val="Norma"/>
        <w:rPr>
          <w:rFonts w:ascii="Arial" w:hAnsi="Arial" w:cs="Arial"/>
          <w:sz w:val="20"/>
          <w:szCs w:val="20"/>
        </w:rPr>
      </w:pPr>
      <w:r w:rsidRPr="00314D3E">
        <w:rPr>
          <w:rFonts w:ascii="Arial" w:hAnsi="Arial" w:cs="Arial"/>
          <w:sz w:val="20"/>
          <w:szCs w:val="20"/>
        </w:rPr>
        <w:t>Se deberá realizar una inspección visual certificada y los ensayos requeridos, todo dirigido por un inspector API-653; para poder completar todos los ítems de la lista de verificación (Check List) de inspección de tanques fuera de servicio del Anexo C del código API-653.</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Se deberá elaborar una hoja de datos del equipo, para identificar y evaluar las particularidades del tanque, considerando que es de techo flotante. Tomar como modelo la hoja de datos que se tiene en el anexo L del estándar API-650.</w:t>
      </w:r>
    </w:p>
    <w:p w:rsidR="00AE5DE4" w:rsidRPr="00314D3E" w:rsidRDefault="00AE5DE4" w:rsidP="00314D3E">
      <w:pPr>
        <w:pStyle w:val="Norma"/>
        <w:rPr>
          <w:rFonts w:ascii="Arial" w:hAnsi="Arial" w:cs="Arial"/>
          <w:sz w:val="20"/>
          <w:szCs w:val="20"/>
        </w:rPr>
      </w:pPr>
      <w:r w:rsidRPr="00314D3E">
        <w:rPr>
          <w:rFonts w:ascii="Arial" w:hAnsi="Arial" w:cs="Arial"/>
          <w:b/>
          <w:sz w:val="20"/>
          <w:szCs w:val="20"/>
        </w:rPr>
        <w:t>NOTA:</w:t>
      </w:r>
      <w:r w:rsidRPr="00314D3E">
        <w:rPr>
          <w:rFonts w:ascii="Arial" w:hAnsi="Arial" w:cs="Arial"/>
          <w:sz w:val="20"/>
          <w:szCs w:val="20"/>
        </w:rPr>
        <w:t xml:space="preserve"> Es responsabilidad del inspector que vea de realizar la limpieza de superficie y cordones de soldadura; para realizar los ensayos mencionados anteriormente (Cámara de vacío, MFL, etc.) para lo cual debe contar con suficiente personal de apoyo (ayudantes generales).</w:t>
      </w:r>
    </w:p>
    <w:p w:rsidR="00AE5DE4" w:rsidRPr="00314D3E" w:rsidRDefault="00AE5DE4" w:rsidP="00314D3E">
      <w:pPr>
        <w:pStyle w:val="Ttulo1"/>
        <w:rPr>
          <w:rFonts w:ascii="Arial" w:hAnsi="Arial" w:cs="Arial"/>
          <w:i/>
          <w:sz w:val="20"/>
        </w:rPr>
      </w:pPr>
      <w:bookmarkStart w:id="3" w:name="_Toc144372759"/>
      <w:r w:rsidRPr="00314D3E">
        <w:rPr>
          <w:rFonts w:ascii="Arial" w:hAnsi="Arial" w:cs="Arial"/>
          <w:sz w:val="20"/>
        </w:rPr>
        <w:t>EXPERIENCIA DEL INSPECTOR CERTIFICADO API 653</w:t>
      </w:r>
      <w:bookmarkEnd w:id="3"/>
    </w:p>
    <w:p w:rsidR="00AE5DE4" w:rsidRPr="00314D3E" w:rsidRDefault="00AE5DE4" w:rsidP="00314D3E">
      <w:pPr>
        <w:pStyle w:val="Norma"/>
        <w:rPr>
          <w:rFonts w:ascii="Arial" w:hAnsi="Arial" w:cs="Arial"/>
          <w:i/>
          <w:sz w:val="20"/>
          <w:szCs w:val="20"/>
        </w:rPr>
      </w:pPr>
      <w:r w:rsidRPr="00314D3E">
        <w:rPr>
          <w:rFonts w:ascii="Arial" w:hAnsi="Arial" w:cs="Arial"/>
          <w:sz w:val="20"/>
          <w:szCs w:val="20"/>
        </w:rPr>
        <w:t>5 años, de experiencia general en la inspección y recertificación de tanques atmosféricos, 3 años de experiencia especifica como inspector certificado API 653. Certificación vigente de acuerdo con el Anexo D de API 653, la certificación debe estar vigente mínimamente con 6 meses posteriores al servicio. Por ejemplo: El servicio se solicita en el mes de 01 enero, con esto el inspector debe contar con su certificación vigente mínimamente hasta el mes de julio.</w:t>
      </w:r>
    </w:p>
    <w:p w:rsidR="00AE5DE4" w:rsidRPr="00314D3E" w:rsidRDefault="00AE5DE4" w:rsidP="00314D3E">
      <w:pPr>
        <w:pStyle w:val="Ttulo1"/>
        <w:rPr>
          <w:rFonts w:ascii="Arial" w:hAnsi="Arial" w:cs="Arial"/>
          <w:sz w:val="20"/>
        </w:rPr>
      </w:pPr>
      <w:r w:rsidRPr="00314D3E">
        <w:rPr>
          <w:rFonts w:ascii="Arial" w:hAnsi="Arial" w:cs="Arial"/>
          <w:sz w:val="20"/>
        </w:rPr>
        <w:t>ENTREGABLES</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Se deberán generar y entregar los siguientes documentos antes de finalizar la inspección del tanque en formato físico y digital</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Hoja de datos de acuerdo al modelo del anexo L de API-650</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Plano As-built del tanque con vistas laterales, de planta e isométrica</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Plan de inspección</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Plano desarrollado del techo del tanque</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Plano desarrollado de la envolvente del tanque</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Plano desarrollado del piso del tanque</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Plano con detalles de las conexiones y entradas de hombre del tanque</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Registros de inspección y planillas de medición</w:t>
      </w:r>
    </w:p>
    <w:p w:rsidR="00AE5DE4"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Listado de indicaciones relevantes en piso, envolvente y techo</w:t>
      </w:r>
    </w:p>
    <w:p w:rsidR="001F5241" w:rsidRPr="00314D3E" w:rsidRDefault="00AE5DE4" w:rsidP="00314D3E">
      <w:pPr>
        <w:pStyle w:val="Prrafodelista"/>
        <w:numPr>
          <w:ilvl w:val="0"/>
          <w:numId w:val="20"/>
        </w:numPr>
        <w:spacing w:after="200" w:line="276" w:lineRule="auto"/>
        <w:rPr>
          <w:rFonts w:ascii="Arial" w:hAnsi="Arial" w:cs="Arial"/>
          <w:sz w:val="20"/>
          <w:lang w:val="es-ES"/>
        </w:rPr>
      </w:pPr>
      <w:r w:rsidRPr="00314D3E">
        <w:rPr>
          <w:rFonts w:ascii="Arial" w:hAnsi="Arial" w:cs="Arial"/>
          <w:sz w:val="20"/>
          <w:lang w:val="es-ES"/>
        </w:rPr>
        <w:t>Evaluación de integridad mecánica del tanque para continuidad de servicio, con conclusiones técnicas y recomendaciones.</w:t>
      </w:r>
    </w:p>
    <w:p w:rsidR="001F5241" w:rsidRPr="00314D3E" w:rsidRDefault="001F5241" w:rsidP="00314D3E">
      <w:pPr>
        <w:pStyle w:val="Ttulo1"/>
        <w:rPr>
          <w:rFonts w:ascii="Arial" w:hAnsi="Arial" w:cs="Arial"/>
          <w:sz w:val="20"/>
        </w:rPr>
      </w:pPr>
      <w:r w:rsidRPr="00314D3E">
        <w:rPr>
          <w:rFonts w:ascii="Arial" w:hAnsi="Arial" w:cs="Arial"/>
          <w:sz w:val="20"/>
        </w:rPr>
        <w:t>HERRAMIENTAS</w:t>
      </w:r>
    </w:p>
    <w:p w:rsidR="00AE5DE4" w:rsidRPr="00314D3E" w:rsidRDefault="001F5241" w:rsidP="00314D3E">
      <w:pPr>
        <w:jc w:val="both"/>
        <w:rPr>
          <w:rFonts w:ascii="Arial" w:hAnsi="Arial" w:cs="Arial"/>
          <w:sz w:val="20"/>
          <w:szCs w:val="20"/>
          <w:lang w:val="es-ES"/>
        </w:rPr>
      </w:pPr>
      <w:r w:rsidRPr="00314D3E">
        <w:rPr>
          <w:rFonts w:ascii="Arial" w:hAnsi="Arial" w:cs="Arial"/>
          <w:sz w:val="20"/>
          <w:szCs w:val="20"/>
          <w:lang w:val="es-ES"/>
        </w:rPr>
        <w:t>El inspector debe contar con todas las herramientas que el vea conveniente para poder ejecutar la inspección y completar los datos requeridos como parte de los documentos entregables.</w:t>
      </w:r>
      <w:r w:rsidR="00AE5DE4" w:rsidRPr="00314D3E">
        <w:rPr>
          <w:rFonts w:ascii="Arial" w:hAnsi="Arial" w:cs="Arial"/>
          <w:sz w:val="20"/>
          <w:szCs w:val="20"/>
          <w:lang w:val="es-ES"/>
        </w:rPr>
        <w:br w:type="page"/>
      </w:r>
    </w:p>
    <w:p w:rsidR="00AE5DE4" w:rsidRPr="00314D3E" w:rsidRDefault="00AE5DE4" w:rsidP="00314D3E">
      <w:pPr>
        <w:pStyle w:val="TITULO1"/>
        <w:numPr>
          <w:ilvl w:val="0"/>
          <w:numId w:val="20"/>
        </w:numPr>
        <w:rPr>
          <w:rFonts w:ascii="Arial" w:hAnsi="Arial" w:cs="Arial"/>
          <w:sz w:val="20"/>
        </w:rPr>
      </w:pPr>
      <w:r w:rsidRPr="00314D3E">
        <w:rPr>
          <w:rFonts w:ascii="Arial" w:hAnsi="Arial" w:cs="Arial"/>
          <w:caps w:val="0"/>
          <w:sz w:val="20"/>
        </w:rPr>
        <w:lastRenderedPageBreak/>
        <w:t>INSPECTOR API 510</w:t>
      </w:r>
    </w:p>
    <w:p w:rsidR="00AE5DE4" w:rsidRPr="00314D3E" w:rsidRDefault="00AE5DE4" w:rsidP="00314D3E">
      <w:pPr>
        <w:pStyle w:val="Ttulo1"/>
        <w:spacing w:after="240" w:line="276" w:lineRule="auto"/>
        <w:ind w:left="431" w:hanging="431"/>
        <w:rPr>
          <w:rFonts w:ascii="Arial" w:hAnsi="Arial" w:cs="Arial"/>
          <w:sz w:val="20"/>
        </w:rPr>
      </w:pPr>
      <w:bookmarkStart w:id="4" w:name="_Toc162532142"/>
      <w:r w:rsidRPr="00314D3E">
        <w:rPr>
          <w:rFonts w:ascii="Arial" w:hAnsi="Arial" w:cs="Arial"/>
          <w:sz w:val="20"/>
        </w:rPr>
        <w:t>DESCRIPCIÓN DEL ALCANCE DEL SERVICIO</w:t>
      </w:r>
      <w:bookmarkEnd w:id="4"/>
    </w:p>
    <w:p w:rsidR="00AE5DE4" w:rsidRPr="00314D3E" w:rsidRDefault="00AE5DE4" w:rsidP="00314D3E">
      <w:pPr>
        <w:pStyle w:val="Norma"/>
        <w:rPr>
          <w:rFonts w:ascii="Arial" w:hAnsi="Arial" w:cs="Arial"/>
          <w:sz w:val="20"/>
          <w:szCs w:val="20"/>
        </w:rPr>
      </w:pPr>
      <w:r w:rsidRPr="00314D3E">
        <w:rPr>
          <w:rFonts w:ascii="Arial" w:hAnsi="Arial" w:cs="Arial"/>
          <w:sz w:val="20"/>
          <w:szCs w:val="20"/>
        </w:rPr>
        <w:t>El inspector deberá realizar una inspección visual de las partes del recipiente con el fin de evaluar el estado mecánico, tomando como criterio de evaluación el documento API 510 (</w:t>
      </w:r>
      <w:proofErr w:type="spellStart"/>
      <w:r w:rsidRPr="00314D3E">
        <w:rPr>
          <w:rFonts w:ascii="Arial" w:hAnsi="Arial" w:cs="Arial"/>
          <w:sz w:val="20"/>
          <w:szCs w:val="20"/>
        </w:rPr>
        <w:t>Pressure</w:t>
      </w:r>
      <w:proofErr w:type="spellEnd"/>
      <w:r w:rsidRPr="00314D3E">
        <w:rPr>
          <w:rFonts w:ascii="Arial" w:hAnsi="Arial" w:cs="Arial"/>
          <w:sz w:val="20"/>
          <w:szCs w:val="20"/>
        </w:rPr>
        <w:t xml:space="preserve"> </w:t>
      </w:r>
      <w:proofErr w:type="spellStart"/>
      <w:r w:rsidRPr="00314D3E">
        <w:rPr>
          <w:rFonts w:ascii="Arial" w:hAnsi="Arial" w:cs="Arial"/>
          <w:sz w:val="20"/>
          <w:szCs w:val="20"/>
        </w:rPr>
        <w:t>Vessel</w:t>
      </w:r>
      <w:proofErr w:type="spellEnd"/>
      <w:r w:rsidRPr="00314D3E">
        <w:rPr>
          <w:rFonts w:ascii="Arial" w:hAnsi="Arial" w:cs="Arial"/>
          <w:sz w:val="20"/>
          <w:szCs w:val="20"/>
        </w:rPr>
        <w:t xml:space="preserve"> </w:t>
      </w:r>
      <w:proofErr w:type="spellStart"/>
      <w:r w:rsidRPr="00314D3E">
        <w:rPr>
          <w:rFonts w:ascii="Arial" w:hAnsi="Arial" w:cs="Arial"/>
          <w:sz w:val="20"/>
          <w:szCs w:val="20"/>
        </w:rPr>
        <w:t>Inspection</w:t>
      </w:r>
      <w:proofErr w:type="spellEnd"/>
      <w:r w:rsidRPr="00314D3E">
        <w:rPr>
          <w:rFonts w:ascii="Arial" w:hAnsi="Arial" w:cs="Arial"/>
          <w:sz w:val="20"/>
          <w:szCs w:val="20"/>
        </w:rPr>
        <w:t xml:space="preserve"> </w:t>
      </w:r>
      <w:proofErr w:type="spellStart"/>
      <w:r w:rsidRPr="00314D3E">
        <w:rPr>
          <w:rFonts w:ascii="Arial" w:hAnsi="Arial" w:cs="Arial"/>
          <w:sz w:val="20"/>
          <w:szCs w:val="20"/>
        </w:rPr>
        <w:t>Code</w:t>
      </w:r>
      <w:proofErr w:type="spellEnd"/>
      <w:r w:rsidRPr="00314D3E">
        <w:rPr>
          <w:rFonts w:ascii="Arial" w:hAnsi="Arial" w:cs="Arial"/>
          <w:sz w:val="20"/>
          <w:szCs w:val="20"/>
        </w:rPr>
        <w:t xml:space="preserve">: </w:t>
      </w:r>
      <w:proofErr w:type="spellStart"/>
      <w:r w:rsidRPr="00314D3E">
        <w:rPr>
          <w:rFonts w:ascii="Arial" w:hAnsi="Arial" w:cs="Arial"/>
          <w:sz w:val="20"/>
          <w:szCs w:val="20"/>
        </w:rPr>
        <w:t>Maintenance</w:t>
      </w:r>
      <w:proofErr w:type="spellEnd"/>
      <w:r w:rsidRPr="00314D3E">
        <w:rPr>
          <w:rFonts w:ascii="Arial" w:hAnsi="Arial" w:cs="Arial"/>
          <w:sz w:val="20"/>
          <w:szCs w:val="20"/>
        </w:rPr>
        <w:t xml:space="preserve"> </w:t>
      </w:r>
      <w:proofErr w:type="spellStart"/>
      <w:r w:rsidRPr="00314D3E">
        <w:rPr>
          <w:rFonts w:ascii="Arial" w:hAnsi="Arial" w:cs="Arial"/>
          <w:sz w:val="20"/>
          <w:szCs w:val="20"/>
        </w:rPr>
        <w:t>Inspection</w:t>
      </w:r>
      <w:proofErr w:type="spellEnd"/>
      <w:r w:rsidRPr="00314D3E">
        <w:rPr>
          <w:rFonts w:ascii="Arial" w:hAnsi="Arial" w:cs="Arial"/>
          <w:sz w:val="20"/>
          <w:szCs w:val="20"/>
        </w:rPr>
        <w:t xml:space="preserve">, Rating, </w:t>
      </w:r>
      <w:proofErr w:type="spellStart"/>
      <w:r w:rsidRPr="00314D3E">
        <w:rPr>
          <w:rFonts w:ascii="Arial" w:hAnsi="Arial" w:cs="Arial"/>
          <w:sz w:val="20"/>
          <w:szCs w:val="20"/>
        </w:rPr>
        <w:t>Repair</w:t>
      </w:r>
      <w:proofErr w:type="spellEnd"/>
      <w:r w:rsidRPr="00314D3E">
        <w:rPr>
          <w:rFonts w:ascii="Arial" w:hAnsi="Arial" w:cs="Arial"/>
          <w:sz w:val="20"/>
          <w:szCs w:val="20"/>
        </w:rPr>
        <w:t xml:space="preserve"> and </w:t>
      </w:r>
      <w:proofErr w:type="spellStart"/>
      <w:r w:rsidRPr="00314D3E">
        <w:rPr>
          <w:rFonts w:ascii="Arial" w:hAnsi="Arial" w:cs="Arial"/>
          <w:sz w:val="20"/>
          <w:szCs w:val="20"/>
        </w:rPr>
        <w:t>Alteration</w:t>
      </w:r>
      <w:proofErr w:type="spellEnd"/>
      <w:r w:rsidRPr="00314D3E">
        <w:rPr>
          <w:rFonts w:ascii="Arial" w:hAnsi="Arial" w:cs="Arial"/>
          <w:sz w:val="20"/>
          <w:szCs w:val="20"/>
        </w:rPr>
        <w:t xml:space="preserve">) (última edición). </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 xml:space="preserve">Se realizará la evaluación a todos los componentes de los equipos como lo son cabezales, cuerpo, boquillas, accesorios, puesta a tierra, dispositivos de alivios, soportes, recubrimiento, para esto debe seguirse con la practica recomendada API 572. </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Se deben recopilar todos los hallazgos encontrados en las diferentes técnicas de END ejecutados en el recipiente y estos deben ser evaluados por parte del inspector certificado</w:t>
      </w:r>
      <w:r w:rsidRPr="00314D3E">
        <w:rPr>
          <w:rFonts w:ascii="Arial" w:hAnsi="Arial" w:cs="Arial"/>
          <w:color w:val="FF0000"/>
          <w:sz w:val="20"/>
          <w:szCs w:val="20"/>
        </w:rPr>
        <w:t xml:space="preserve">. </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El Contratista debe entregar un reporte diario con el fin de conocer los hallazgos relevantes y el % de avance. El Contratista debe entregar el informe de campo con el plan de reparaciones al culminar el Servicio y antes de abandonar la refinería.</w:t>
      </w:r>
    </w:p>
    <w:p w:rsidR="00AE5DE4" w:rsidRPr="00314D3E" w:rsidRDefault="00AE5DE4" w:rsidP="00314D3E">
      <w:pPr>
        <w:pStyle w:val="Ttulo1"/>
        <w:rPr>
          <w:rFonts w:ascii="Arial" w:hAnsi="Arial" w:cs="Arial"/>
          <w:i/>
          <w:sz w:val="20"/>
        </w:rPr>
      </w:pPr>
      <w:bookmarkStart w:id="5" w:name="_Toc162532160"/>
      <w:r w:rsidRPr="00314D3E">
        <w:rPr>
          <w:rFonts w:ascii="Arial" w:hAnsi="Arial" w:cs="Arial"/>
          <w:sz w:val="20"/>
        </w:rPr>
        <w:t>EXPERIENCIA DEL INSPECTOR CERTIFICADO API 510</w:t>
      </w:r>
      <w:bookmarkEnd w:id="5"/>
    </w:p>
    <w:p w:rsidR="00AE5DE4" w:rsidRPr="00314D3E" w:rsidRDefault="00AE5DE4" w:rsidP="00314D3E">
      <w:pPr>
        <w:pStyle w:val="Norma"/>
        <w:rPr>
          <w:rFonts w:ascii="Arial" w:hAnsi="Arial" w:cs="Arial"/>
          <w:sz w:val="20"/>
          <w:szCs w:val="20"/>
        </w:rPr>
      </w:pPr>
      <w:r w:rsidRPr="00314D3E">
        <w:rPr>
          <w:rFonts w:ascii="Arial" w:hAnsi="Arial" w:cs="Arial"/>
          <w:sz w:val="20"/>
          <w:szCs w:val="20"/>
        </w:rPr>
        <w:t>El inspector API-510 deberá estar con certificación vigente de acuerdo con el Anexo B del API-510, para realizar la inspección visual y evaluar la correcta aplicación de los END. El inspector deberá contar con experiencia demostrable como inspector certificado API-510, 5 Años experiencia General y 3 años de experiencia especifica en examinación certificada API 510.</w:t>
      </w:r>
      <w:r w:rsidRPr="00314D3E">
        <w:rPr>
          <w:rFonts w:ascii="Arial" w:hAnsi="Arial" w:cs="Arial"/>
          <w:b/>
          <w:snapToGrid w:val="0"/>
          <w:kern w:val="24"/>
          <w:sz w:val="20"/>
          <w:szCs w:val="20"/>
          <w:lang w:val="es-ES"/>
        </w:rPr>
        <w:t xml:space="preserve"> </w:t>
      </w:r>
      <w:r w:rsidRPr="00314D3E">
        <w:rPr>
          <w:rFonts w:ascii="Arial" w:hAnsi="Arial" w:cs="Arial"/>
          <w:sz w:val="20"/>
          <w:szCs w:val="20"/>
        </w:rPr>
        <w:t>Como mínimo 2 años de experiencia en trabajos de diseño, cálculo de reparaciones, memorias de cálculo de recipientes bajo códigos ASME.</w:t>
      </w:r>
    </w:p>
    <w:p w:rsidR="00AE5DE4" w:rsidRPr="00314D3E" w:rsidRDefault="00AE5DE4" w:rsidP="00314D3E">
      <w:pPr>
        <w:pStyle w:val="Ttulo1"/>
        <w:rPr>
          <w:rFonts w:ascii="Arial" w:hAnsi="Arial" w:cs="Arial"/>
          <w:sz w:val="20"/>
        </w:rPr>
      </w:pPr>
      <w:r w:rsidRPr="00314D3E">
        <w:rPr>
          <w:rFonts w:ascii="Arial" w:hAnsi="Arial" w:cs="Arial"/>
          <w:sz w:val="20"/>
        </w:rPr>
        <w:t>ENTREGABLES</w:t>
      </w:r>
    </w:p>
    <w:p w:rsidR="00AE5DE4" w:rsidRPr="00314D3E" w:rsidRDefault="00AE5DE4" w:rsidP="00314D3E">
      <w:pPr>
        <w:pStyle w:val="Default"/>
        <w:numPr>
          <w:ilvl w:val="0"/>
          <w:numId w:val="19"/>
        </w:numPr>
        <w:spacing w:line="276" w:lineRule="auto"/>
        <w:jc w:val="both"/>
        <w:rPr>
          <w:color w:val="auto"/>
          <w:sz w:val="20"/>
          <w:szCs w:val="20"/>
        </w:rPr>
      </w:pPr>
      <w:r w:rsidRPr="00314D3E">
        <w:rPr>
          <w:color w:val="auto"/>
          <w:sz w:val="20"/>
          <w:szCs w:val="20"/>
        </w:rPr>
        <w:t>Memoria de cálculo inicial y hoja de datos</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 xml:space="preserve">El contratista deberá elaborar la memoria de cálculo inicial mediante software especializados en recipientes a presión como ser: COMPRESS o INSPECT (Recipientes), </w:t>
      </w:r>
      <w:proofErr w:type="spellStart"/>
      <w:r w:rsidRPr="00314D3E">
        <w:rPr>
          <w:rFonts w:ascii="Arial" w:hAnsi="Arial" w:cs="Arial"/>
          <w:sz w:val="20"/>
          <w:szCs w:val="20"/>
        </w:rPr>
        <w:t>SolidWorks</w:t>
      </w:r>
      <w:proofErr w:type="spellEnd"/>
      <w:r w:rsidRPr="00314D3E">
        <w:rPr>
          <w:rFonts w:ascii="Arial" w:hAnsi="Arial" w:cs="Arial"/>
          <w:sz w:val="20"/>
          <w:szCs w:val="20"/>
        </w:rPr>
        <w:t xml:space="preserve"> y en caso de las estructuras se deberá presentar el respaldo de las Planillas en Excel (ESTRUCTURA) contando con las siguientes características:</w:t>
      </w:r>
    </w:p>
    <w:p w:rsidR="00AE5DE4" w:rsidRPr="00314D3E" w:rsidRDefault="00AE5DE4" w:rsidP="00314D3E">
      <w:pPr>
        <w:pStyle w:val="Default"/>
        <w:numPr>
          <w:ilvl w:val="1"/>
          <w:numId w:val="19"/>
        </w:numPr>
        <w:spacing w:line="276" w:lineRule="auto"/>
        <w:jc w:val="both"/>
        <w:rPr>
          <w:color w:val="auto"/>
          <w:sz w:val="20"/>
          <w:szCs w:val="20"/>
        </w:rPr>
      </w:pPr>
      <w:r w:rsidRPr="00314D3E">
        <w:rPr>
          <w:color w:val="auto"/>
          <w:sz w:val="20"/>
          <w:szCs w:val="20"/>
        </w:rPr>
        <w:t>Cálculos de ASME VIII- Div.1, para presión interna y externa</w:t>
      </w:r>
    </w:p>
    <w:p w:rsidR="00AE5DE4" w:rsidRPr="00314D3E" w:rsidRDefault="00AE5DE4" w:rsidP="00314D3E">
      <w:pPr>
        <w:pStyle w:val="Default"/>
        <w:numPr>
          <w:ilvl w:val="1"/>
          <w:numId w:val="19"/>
        </w:numPr>
        <w:spacing w:line="276" w:lineRule="auto"/>
        <w:jc w:val="both"/>
        <w:rPr>
          <w:color w:val="auto"/>
          <w:sz w:val="20"/>
          <w:szCs w:val="20"/>
        </w:rPr>
      </w:pPr>
      <w:r w:rsidRPr="00314D3E">
        <w:rPr>
          <w:color w:val="auto"/>
          <w:sz w:val="20"/>
          <w:szCs w:val="20"/>
        </w:rPr>
        <w:t xml:space="preserve">Cálculos de recipientes a presión según ASME VIII- </w:t>
      </w:r>
      <w:proofErr w:type="spellStart"/>
      <w:r w:rsidRPr="00314D3E">
        <w:rPr>
          <w:color w:val="auto"/>
          <w:sz w:val="20"/>
          <w:szCs w:val="20"/>
        </w:rPr>
        <w:t>Div</w:t>
      </w:r>
      <w:proofErr w:type="spellEnd"/>
      <w:r w:rsidRPr="00314D3E">
        <w:rPr>
          <w:color w:val="auto"/>
          <w:sz w:val="20"/>
          <w:szCs w:val="20"/>
        </w:rPr>
        <w:t>. 2, incluidos diseños de clase 1 y clase 2</w:t>
      </w:r>
    </w:p>
    <w:p w:rsidR="00AE5DE4" w:rsidRPr="00314D3E" w:rsidRDefault="00AE5DE4" w:rsidP="00314D3E">
      <w:pPr>
        <w:pStyle w:val="Default"/>
        <w:numPr>
          <w:ilvl w:val="1"/>
          <w:numId w:val="19"/>
        </w:numPr>
        <w:spacing w:line="276" w:lineRule="auto"/>
        <w:jc w:val="both"/>
        <w:rPr>
          <w:color w:val="auto"/>
          <w:sz w:val="20"/>
          <w:szCs w:val="20"/>
        </w:rPr>
      </w:pPr>
      <w:r w:rsidRPr="00314D3E">
        <w:rPr>
          <w:color w:val="auto"/>
          <w:sz w:val="20"/>
          <w:szCs w:val="20"/>
        </w:rPr>
        <w:t>Múltiples ediciones de código ASME VIII (1995 - presente)</w:t>
      </w:r>
    </w:p>
    <w:p w:rsidR="00AE5DE4" w:rsidRPr="00314D3E" w:rsidRDefault="00AE5DE4" w:rsidP="00314D3E">
      <w:pPr>
        <w:pStyle w:val="Default"/>
        <w:numPr>
          <w:ilvl w:val="1"/>
          <w:numId w:val="19"/>
        </w:numPr>
        <w:spacing w:line="276" w:lineRule="auto"/>
        <w:jc w:val="both"/>
        <w:rPr>
          <w:color w:val="auto"/>
          <w:sz w:val="20"/>
          <w:szCs w:val="20"/>
        </w:rPr>
      </w:pPr>
      <w:r w:rsidRPr="00314D3E">
        <w:rPr>
          <w:color w:val="auto"/>
          <w:sz w:val="20"/>
          <w:szCs w:val="20"/>
        </w:rPr>
        <w:t>Múltiples Ediciones ASME II-D, incluida la consideración de notas de tabla (1995 – presente)</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 xml:space="preserve">La memoria de Cálculo de la esfera se la realizará bajo Código de Construcción: ASME BPVC Sección VIII div. 1 </w:t>
      </w:r>
      <w:proofErr w:type="spellStart"/>
      <w:r w:rsidRPr="00314D3E">
        <w:rPr>
          <w:rFonts w:ascii="Arial" w:hAnsi="Arial" w:cs="Arial"/>
          <w:sz w:val="20"/>
          <w:szCs w:val="20"/>
        </w:rPr>
        <w:t>ó</w:t>
      </w:r>
      <w:proofErr w:type="spellEnd"/>
      <w:r w:rsidRPr="00314D3E">
        <w:rPr>
          <w:rFonts w:ascii="Arial" w:hAnsi="Arial" w:cs="Arial"/>
          <w:sz w:val="20"/>
          <w:szCs w:val="20"/>
        </w:rPr>
        <w:t xml:space="preserve"> 2, (según corresponda), tomando en cuenta las recomendaciones de la API 510 </w:t>
      </w:r>
      <w:proofErr w:type="spellStart"/>
      <w:r w:rsidRPr="00314D3E">
        <w:rPr>
          <w:rFonts w:ascii="Arial" w:hAnsi="Arial" w:cs="Arial"/>
          <w:sz w:val="20"/>
          <w:szCs w:val="20"/>
        </w:rPr>
        <w:t>Parr</w:t>
      </w:r>
      <w:proofErr w:type="spellEnd"/>
      <w:r w:rsidRPr="00314D3E">
        <w:rPr>
          <w:rFonts w:ascii="Arial" w:hAnsi="Arial" w:cs="Arial"/>
          <w:sz w:val="20"/>
          <w:szCs w:val="20"/>
        </w:rPr>
        <w:t xml:space="preserve">. 7.7 y ASME VIII DIV 1 </w:t>
      </w:r>
      <w:proofErr w:type="spellStart"/>
      <w:r w:rsidRPr="00314D3E">
        <w:rPr>
          <w:rFonts w:ascii="Arial" w:hAnsi="Arial" w:cs="Arial"/>
          <w:sz w:val="20"/>
          <w:szCs w:val="20"/>
        </w:rPr>
        <w:t>Parr</w:t>
      </w:r>
      <w:proofErr w:type="spellEnd"/>
      <w:r w:rsidRPr="00314D3E">
        <w:rPr>
          <w:rFonts w:ascii="Arial" w:hAnsi="Arial" w:cs="Arial"/>
          <w:sz w:val="20"/>
          <w:szCs w:val="20"/>
        </w:rPr>
        <w:t>. UG10 (c).</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Adicionalmente se deberá considerar la entrega de un resumen ejecutivo del ingeniero describiendo las fallas o violaciones de código que pudiera tener el equipo por elemento que sostiene presión.</w:t>
      </w:r>
    </w:p>
    <w:p w:rsidR="00AE5DE4" w:rsidRPr="00314D3E" w:rsidRDefault="00AE5DE4" w:rsidP="00314D3E">
      <w:pPr>
        <w:pStyle w:val="Default"/>
        <w:numPr>
          <w:ilvl w:val="0"/>
          <w:numId w:val="19"/>
        </w:numPr>
        <w:spacing w:line="276" w:lineRule="auto"/>
        <w:jc w:val="both"/>
        <w:rPr>
          <w:color w:val="auto"/>
          <w:sz w:val="20"/>
          <w:szCs w:val="20"/>
        </w:rPr>
      </w:pPr>
      <w:r w:rsidRPr="00314D3E">
        <w:rPr>
          <w:color w:val="auto"/>
          <w:sz w:val="20"/>
          <w:szCs w:val="20"/>
        </w:rPr>
        <w:lastRenderedPageBreak/>
        <w:t>Memoria de cálculo de valorización</w:t>
      </w:r>
    </w:p>
    <w:p w:rsidR="00AE5DE4" w:rsidRPr="00314D3E" w:rsidRDefault="00AE5DE4" w:rsidP="00314D3E">
      <w:pPr>
        <w:pStyle w:val="Norma"/>
        <w:rPr>
          <w:rFonts w:ascii="Arial" w:hAnsi="Arial" w:cs="Arial"/>
          <w:sz w:val="20"/>
          <w:szCs w:val="20"/>
          <w:highlight w:val="cyan"/>
        </w:rPr>
      </w:pPr>
      <w:r w:rsidRPr="00314D3E">
        <w:rPr>
          <w:rFonts w:ascii="Arial" w:hAnsi="Arial" w:cs="Arial"/>
          <w:sz w:val="20"/>
          <w:szCs w:val="20"/>
        </w:rPr>
        <w:t>En base a la ingeniería desarrollada y a los reportes de END el Ingeniero desarrollar</w:t>
      </w:r>
      <w:r w:rsidR="00314D3E">
        <w:rPr>
          <w:rFonts w:ascii="Arial" w:hAnsi="Arial" w:cs="Arial"/>
          <w:sz w:val="20"/>
          <w:szCs w:val="20"/>
        </w:rPr>
        <w:t>á</w:t>
      </w:r>
      <w:bookmarkStart w:id="6" w:name="_GoBack"/>
      <w:bookmarkEnd w:id="6"/>
      <w:r w:rsidRPr="00314D3E">
        <w:rPr>
          <w:rFonts w:ascii="Arial" w:hAnsi="Arial" w:cs="Arial"/>
          <w:sz w:val="20"/>
          <w:szCs w:val="20"/>
        </w:rPr>
        <w:t xml:space="preserve"> una memoria de cálculo de valorización por corrosión para determinar la tasa de corrosión de cada uno de los elementos que sostienen presión de la esfera (Casquetes, conexiones, etc.), su vida remanente y máxima presión de trabajo admisible para el recipiente.</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 xml:space="preserve">La elaboración de la memoria de cálculo de valorización deberá ser elaborada mediante software especializados recipientes a ´presión, en la cual se deberá registrar la ubicación exacta en forma de coordenadas y gráficamente de los puntos de medición de espesores utilizados para desarrollar la valorización requerida bajo consideraciones de ASME VIII div.1 </w:t>
      </w:r>
      <w:proofErr w:type="spellStart"/>
      <w:r w:rsidRPr="00314D3E">
        <w:rPr>
          <w:rFonts w:ascii="Arial" w:hAnsi="Arial" w:cs="Arial"/>
          <w:sz w:val="20"/>
          <w:szCs w:val="20"/>
        </w:rPr>
        <w:t>ó</w:t>
      </w:r>
      <w:proofErr w:type="spellEnd"/>
      <w:r w:rsidRPr="00314D3E">
        <w:rPr>
          <w:rFonts w:ascii="Arial" w:hAnsi="Arial" w:cs="Arial"/>
          <w:sz w:val="20"/>
          <w:szCs w:val="20"/>
        </w:rPr>
        <w:t xml:space="preserve"> 2</w:t>
      </w:r>
    </w:p>
    <w:p w:rsidR="00AE5DE4" w:rsidRPr="00314D3E" w:rsidRDefault="00AE5DE4" w:rsidP="00314D3E">
      <w:pPr>
        <w:pStyle w:val="Prrafodelista"/>
        <w:numPr>
          <w:ilvl w:val="0"/>
          <w:numId w:val="19"/>
        </w:numPr>
        <w:autoSpaceDE w:val="0"/>
        <w:autoSpaceDN w:val="0"/>
        <w:adjustRightInd w:val="0"/>
        <w:spacing w:before="0" w:after="0" w:line="276" w:lineRule="auto"/>
        <w:rPr>
          <w:rFonts w:ascii="Arial" w:hAnsi="Arial" w:cs="Arial"/>
          <w:sz w:val="20"/>
        </w:rPr>
      </w:pPr>
      <w:r w:rsidRPr="00314D3E">
        <w:rPr>
          <w:rFonts w:ascii="Arial" w:hAnsi="Arial" w:cs="Arial"/>
          <w:sz w:val="20"/>
        </w:rPr>
        <w:t>Evaluación de la velocidad de Corrosión y cálculo de vida remanente, como parte de la memoria de cálculo de valorización</w:t>
      </w:r>
    </w:p>
    <w:p w:rsidR="00AE5DE4" w:rsidRPr="00314D3E" w:rsidRDefault="00AE5DE4" w:rsidP="00314D3E">
      <w:pPr>
        <w:pStyle w:val="Default"/>
        <w:spacing w:line="276" w:lineRule="auto"/>
        <w:jc w:val="both"/>
        <w:rPr>
          <w:color w:val="auto"/>
          <w:sz w:val="20"/>
          <w:szCs w:val="20"/>
        </w:rPr>
      </w:pPr>
    </w:p>
    <w:p w:rsidR="00AE5DE4" w:rsidRPr="00314D3E" w:rsidRDefault="00AE5DE4" w:rsidP="00314D3E">
      <w:pPr>
        <w:pStyle w:val="Default"/>
        <w:numPr>
          <w:ilvl w:val="0"/>
          <w:numId w:val="19"/>
        </w:numPr>
        <w:spacing w:line="276" w:lineRule="auto"/>
        <w:jc w:val="both"/>
        <w:rPr>
          <w:color w:val="auto"/>
          <w:sz w:val="20"/>
          <w:szCs w:val="20"/>
        </w:rPr>
      </w:pPr>
      <w:r w:rsidRPr="00314D3E">
        <w:rPr>
          <w:color w:val="auto"/>
          <w:sz w:val="20"/>
          <w:szCs w:val="20"/>
        </w:rPr>
        <w:t xml:space="preserve">Informe del análisis Dimensional de distorsiones, falta de redondez, Horizontalidad, verticalidad de patas y asentamiento. </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 xml:space="preserve">El Informe deberá contemplar un análisis dimensional de la esfera, para verificar la existencia de Deformaciones, Falta de Redondez, asentamiento y verticalidad de las patas, y que las mismas se encuentran dentro de las tolerancias establecidas por el código de construcción ASME BPVC Sección VIII </w:t>
      </w:r>
      <w:proofErr w:type="spellStart"/>
      <w:r w:rsidRPr="00314D3E">
        <w:rPr>
          <w:rFonts w:ascii="Arial" w:hAnsi="Arial" w:cs="Arial"/>
          <w:sz w:val="20"/>
          <w:szCs w:val="20"/>
        </w:rPr>
        <w:t>Div</w:t>
      </w:r>
      <w:proofErr w:type="spellEnd"/>
      <w:r w:rsidRPr="00314D3E">
        <w:rPr>
          <w:rFonts w:ascii="Arial" w:hAnsi="Arial" w:cs="Arial"/>
          <w:sz w:val="20"/>
          <w:szCs w:val="20"/>
        </w:rPr>
        <w:t>. 1 o 2 (según corresponda).</w:t>
      </w:r>
    </w:p>
    <w:p w:rsidR="00AE5DE4" w:rsidRPr="00314D3E" w:rsidRDefault="00AE5DE4" w:rsidP="00314D3E">
      <w:pPr>
        <w:pStyle w:val="Prrafodelista"/>
        <w:numPr>
          <w:ilvl w:val="0"/>
          <w:numId w:val="19"/>
        </w:numPr>
        <w:autoSpaceDE w:val="0"/>
        <w:autoSpaceDN w:val="0"/>
        <w:adjustRightInd w:val="0"/>
        <w:spacing w:before="0" w:after="0" w:line="276" w:lineRule="auto"/>
        <w:rPr>
          <w:rFonts w:ascii="Arial" w:hAnsi="Arial" w:cs="Arial"/>
          <w:sz w:val="20"/>
        </w:rPr>
      </w:pPr>
      <w:r w:rsidRPr="00314D3E">
        <w:rPr>
          <w:rFonts w:ascii="Arial" w:hAnsi="Arial" w:cs="Arial"/>
          <w:sz w:val="20"/>
        </w:rPr>
        <w:t xml:space="preserve">Plan de inspección futuro de inspección externa, interna e instructivos de END. </w:t>
      </w:r>
    </w:p>
    <w:p w:rsidR="00AE5DE4" w:rsidRPr="00314D3E" w:rsidRDefault="00AE5DE4" w:rsidP="00314D3E">
      <w:pPr>
        <w:autoSpaceDE w:val="0"/>
        <w:autoSpaceDN w:val="0"/>
        <w:adjustRightInd w:val="0"/>
        <w:spacing w:after="0" w:line="276" w:lineRule="auto"/>
        <w:jc w:val="both"/>
        <w:rPr>
          <w:rFonts w:ascii="Arial" w:hAnsi="Arial" w:cs="Arial"/>
          <w:sz w:val="20"/>
          <w:szCs w:val="20"/>
        </w:rPr>
      </w:pPr>
      <w:r w:rsidRPr="00314D3E">
        <w:rPr>
          <w:rFonts w:ascii="Arial" w:hAnsi="Arial" w:cs="Arial"/>
          <w:sz w:val="20"/>
          <w:szCs w:val="20"/>
        </w:rPr>
        <w:t>Se deberá elaborar los planes e instructivos de inspección para los recipientes o tanques, para la futura inspección, que contempla la inspección interna, externa y de medición de espesores.</w:t>
      </w:r>
    </w:p>
    <w:p w:rsidR="00AE5DE4" w:rsidRPr="00314D3E" w:rsidRDefault="00AE5DE4" w:rsidP="00314D3E">
      <w:pPr>
        <w:pStyle w:val="Ttulo2"/>
        <w:rPr>
          <w:rFonts w:ascii="Arial" w:hAnsi="Arial" w:cs="Arial"/>
          <w:sz w:val="20"/>
          <w:szCs w:val="20"/>
        </w:rPr>
      </w:pPr>
      <w:r w:rsidRPr="00314D3E">
        <w:rPr>
          <w:rFonts w:ascii="Arial" w:hAnsi="Arial" w:cs="Arial"/>
          <w:sz w:val="20"/>
          <w:szCs w:val="20"/>
        </w:rPr>
        <w:t xml:space="preserve">INFORME API 510 </w:t>
      </w:r>
    </w:p>
    <w:p w:rsidR="00AE5DE4" w:rsidRPr="00314D3E" w:rsidRDefault="00AE5DE4" w:rsidP="00314D3E">
      <w:pPr>
        <w:pStyle w:val="Norma"/>
        <w:rPr>
          <w:rFonts w:ascii="Arial" w:hAnsi="Arial" w:cs="Arial"/>
          <w:sz w:val="20"/>
          <w:szCs w:val="20"/>
        </w:rPr>
      </w:pPr>
      <w:r w:rsidRPr="00314D3E">
        <w:rPr>
          <w:rFonts w:ascii="Arial" w:hAnsi="Arial" w:cs="Arial"/>
          <w:sz w:val="20"/>
          <w:szCs w:val="20"/>
        </w:rPr>
        <w:t xml:space="preserve">El informe del inspector API-510 deberá contener información que considere relevante resumida de la siguiente manera: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Datos generales del equipo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Revisión de la información técnica del equipo.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Información de operación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Inspecciones y examinaciones anteriores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Mantenimiento, reparaciones y/o alteraciones anteriores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Documentos base generados en el proyecto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Mecanismos de daño susceptibles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Inspección visual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Resultado de la inspección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Análisis dimensional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Ensayos no destructivos </w:t>
      </w:r>
    </w:p>
    <w:p w:rsidR="00AE5DE4" w:rsidRPr="00314D3E" w:rsidRDefault="00AE5DE4" w:rsidP="00314D3E">
      <w:pPr>
        <w:pStyle w:val="Default"/>
        <w:numPr>
          <w:ilvl w:val="0"/>
          <w:numId w:val="18"/>
        </w:numPr>
        <w:spacing w:after="31" w:line="276" w:lineRule="auto"/>
        <w:jc w:val="both"/>
        <w:rPr>
          <w:color w:val="auto"/>
          <w:sz w:val="20"/>
          <w:szCs w:val="20"/>
        </w:rPr>
      </w:pPr>
      <w:r w:rsidRPr="00314D3E">
        <w:rPr>
          <w:color w:val="auto"/>
          <w:sz w:val="20"/>
          <w:szCs w:val="20"/>
        </w:rPr>
        <w:t xml:space="preserve">Valorización </w:t>
      </w:r>
    </w:p>
    <w:p w:rsidR="00AE5DE4" w:rsidRDefault="00AE5DE4" w:rsidP="00314D3E">
      <w:pPr>
        <w:pStyle w:val="Default"/>
        <w:numPr>
          <w:ilvl w:val="0"/>
          <w:numId w:val="18"/>
        </w:numPr>
        <w:spacing w:line="276" w:lineRule="auto"/>
        <w:jc w:val="both"/>
        <w:rPr>
          <w:color w:val="auto"/>
          <w:sz w:val="20"/>
          <w:szCs w:val="20"/>
        </w:rPr>
      </w:pPr>
      <w:r w:rsidRPr="00314D3E">
        <w:rPr>
          <w:color w:val="auto"/>
          <w:sz w:val="20"/>
          <w:szCs w:val="20"/>
        </w:rPr>
        <w:t xml:space="preserve">Conclusiones y recomendaciones </w:t>
      </w:r>
    </w:p>
    <w:p w:rsidR="00314D3E" w:rsidRPr="00314D3E" w:rsidRDefault="00314D3E" w:rsidP="00314D3E">
      <w:pPr>
        <w:pStyle w:val="Default"/>
        <w:spacing w:line="276" w:lineRule="auto"/>
        <w:ind w:left="720"/>
        <w:jc w:val="both"/>
        <w:rPr>
          <w:color w:val="auto"/>
          <w:sz w:val="20"/>
          <w:szCs w:val="20"/>
        </w:rPr>
      </w:pPr>
    </w:p>
    <w:p w:rsidR="00AE5DE4" w:rsidRPr="00314D3E" w:rsidRDefault="00AE5DE4" w:rsidP="00314D3E">
      <w:pPr>
        <w:pStyle w:val="Default"/>
        <w:spacing w:line="276" w:lineRule="auto"/>
        <w:jc w:val="both"/>
        <w:rPr>
          <w:color w:val="auto"/>
          <w:sz w:val="20"/>
          <w:szCs w:val="20"/>
        </w:rPr>
      </w:pPr>
      <w:r w:rsidRPr="00314D3E">
        <w:rPr>
          <w:color w:val="auto"/>
          <w:sz w:val="20"/>
          <w:szCs w:val="20"/>
        </w:rPr>
        <w:t>A su vez el Inspector API-510 validará el Informe de distorsiones, falta de redondez, verticalidad, horizontalidad y asentamiento de acuerdo con el relevamiento realizado.</w:t>
      </w:r>
    </w:p>
    <w:p w:rsidR="001F5241" w:rsidRPr="00314D3E" w:rsidRDefault="001F5241" w:rsidP="00314D3E">
      <w:pPr>
        <w:pStyle w:val="Ttulo1"/>
        <w:rPr>
          <w:rFonts w:ascii="Arial" w:hAnsi="Arial" w:cs="Arial"/>
          <w:sz w:val="20"/>
        </w:rPr>
      </w:pPr>
      <w:r w:rsidRPr="00314D3E">
        <w:rPr>
          <w:rFonts w:ascii="Arial" w:hAnsi="Arial" w:cs="Arial"/>
          <w:sz w:val="20"/>
        </w:rPr>
        <w:lastRenderedPageBreak/>
        <w:t>HERRAMIENTAS</w:t>
      </w:r>
    </w:p>
    <w:p w:rsidR="001F5241" w:rsidRPr="00314D3E" w:rsidRDefault="001F5241" w:rsidP="00314D3E">
      <w:pPr>
        <w:jc w:val="both"/>
        <w:rPr>
          <w:rFonts w:ascii="Arial" w:hAnsi="Arial" w:cs="Arial"/>
          <w:sz w:val="20"/>
          <w:szCs w:val="20"/>
          <w:lang w:val="es-ES"/>
        </w:rPr>
      </w:pPr>
      <w:r w:rsidRPr="00314D3E">
        <w:rPr>
          <w:rFonts w:ascii="Arial" w:hAnsi="Arial" w:cs="Arial"/>
          <w:sz w:val="20"/>
          <w:szCs w:val="20"/>
          <w:lang w:val="es-ES"/>
        </w:rPr>
        <w:t>El inspector debe contar con todas las herramientas que el vea conveniente para poder ejecutar la inspección y completar los datos requeridos como parte de los documentos entregables.</w:t>
      </w:r>
    </w:p>
    <w:p w:rsidR="001F5241" w:rsidRPr="00314D3E" w:rsidRDefault="001F5241" w:rsidP="00314D3E">
      <w:pPr>
        <w:pStyle w:val="Default"/>
        <w:spacing w:line="276" w:lineRule="auto"/>
        <w:jc w:val="both"/>
        <w:rPr>
          <w:color w:val="auto"/>
          <w:sz w:val="20"/>
          <w:szCs w:val="20"/>
          <w:lang w:val="es-ES"/>
        </w:rPr>
      </w:pPr>
    </w:p>
    <w:sectPr w:rsidR="001F5241" w:rsidRPr="00314D3E" w:rsidSect="00143EA8">
      <w:headerReference w:type="default" r:id="rId9"/>
      <w:pgSz w:w="11906" w:h="16838"/>
      <w:pgMar w:top="1417"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07B4B" w:rsidRDefault="00207B4B" w:rsidP="00AE5DE4">
      <w:pPr>
        <w:spacing w:after="0" w:line="240" w:lineRule="auto"/>
      </w:pPr>
      <w:r>
        <w:separator/>
      </w:r>
    </w:p>
  </w:endnote>
  <w:endnote w:type="continuationSeparator" w:id="0">
    <w:p w:rsidR="00207B4B" w:rsidRDefault="00207B4B" w:rsidP="00AE5DE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07B4B" w:rsidRDefault="00207B4B" w:rsidP="00AE5DE4">
      <w:pPr>
        <w:spacing w:after="0" w:line="240" w:lineRule="auto"/>
      </w:pPr>
      <w:r>
        <w:separator/>
      </w:r>
    </w:p>
  </w:footnote>
  <w:footnote w:type="continuationSeparator" w:id="0">
    <w:p w:rsidR="00207B4B" w:rsidRDefault="00207B4B" w:rsidP="00AE5DE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92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6"/>
      <w:gridCol w:w="1310"/>
      <w:gridCol w:w="1190"/>
      <w:gridCol w:w="2108"/>
      <w:gridCol w:w="1651"/>
    </w:tblGrid>
    <w:tr w:rsidR="00AE5DE4" w:rsidRPr="00CA1227" w:rsidTr="00B478D3">
      <w:trPr>
        <w:cantSplit/>
        <w:trHeight w:val="390"/>
      </w:trPr>
      <w:tc>
        <w:tcPr>
          <w:tcW w:w="1080" w:type="pct"/>
          <w:vMerge w:val="restart"/>
          <w:shd w:val="clear" w:color="auto" w:fill="auto"/>
          <w:vAlign w:val="center"/>
        </w:tcPr>
        <w:p w:rsidR="00AE5DE4" w:rsidRPr="00CA1227" w:rsidRDefault="00AE5DE4" w:rsidP="00AE5DE4">
          <w:pPr>
            <w:pStyle w:val="Encabezado"/>
            <w:jc w:val="center"/>
            <w:rPr>
              <w:rFonts w:eastAsia="Calibri"/>
              <w:sz w:val="32"/>
            </w:rPr>
          </w:pPr>
          <w:r w:rsidRPr="00CA1227">
            <w:rPr>
              <w:noProof/>
              <w:lang w:eastAsia="es-BO"/>
            </w:rPr>
            <w:drawing>
              <wp:inline distT="0" distB="0" distL="0" distR="0" wp14:anchorId="5EC57A93" wp14:editId="58FC3171">
                <wp:extent cx="1192794" cy="527050"/>
                <wp:effectExtent l="0" t="0" r="7620" b="6350"/>
                <wp:docPr id="41" name="Imagen 41" descr="logotipo ULTI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ogotipo ULTIM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0902" cy="552726"/>
                        </a:xfrm>
                        <a:prstGeom prst="rect">
                          <a:avLst/>
                        </a:prstGeom>
                        <a:noFill/>
                        <a:ln>
                          <a:noFill/>
                        </a:ln>
                      </pic:spPr>
                    </pic:pic>
                  </a:graphicData>
                </a:graphic>
              </wp:inline>
            </w:drawing>
          </w:r>
        </w:p>
      </w:tc>
      <w:tc>
        <w:tcPr>
          <w:tcW w:w="3920" w:type="pct"/>
          <w:gridSpan w:val="4"/>
          <w:shd w:val="clear" w:color="auto" w:fill="auto"/>
          <w:vAlign w:val="center"/>
        </w:tcPr>
        <w:p w:rsidR="00AE5DE4" w:rsidRPr="0010252E" w:rsidRDefault="00AE5DE4" w:rsidP="00AE5DE4">
          <w:pPr>
            <w:pStyle w:val="Text"/>
            <w:spacing w:before="0" w:after="0" w:line="240" w:lineRule="auto"/>
            <w:jc w:val="center"/>
            <w:rPr>
              <w:rFonts w:ascii="Times New Roman" w:eastAsia="Calibri" w:hAnsi="Times New Roman"/>
              <w:b/>
              <w:sz w:val="22"/>
              <w:szCs w:val="22"/>
            </w:rPr>
          </w:pPr>
          <w:r>
            <w:rPr>
              <w:rFonts w:ascii="Times New Roman" w:eastAsia="Calibri" w:hAnsi="Times New Roman"/>
              <w:b/>
              <w:sz w:val="22"/>
              <w:szCs w:val="22"/>
            </w:rPr>
            <w:t>ANEXO PARA INSPECTORES API 653 y API 510</w:t>
          </w:r>
        </w:p>
      </w:tc>
    </w:tr>
    <w:tr w:rsidR="00AE5DE4" w:rsidRPr="00CA1227" w:rsidTr="00B478D3">
      <w:trPr>
        <w:cantSplit/>
        <w:trHeight w:val="283"/>
      </w:trPr>
      <w:tc>
        <w:tcPr>
          <w:tcW w:w="1080" w:type="pct"/>
          <w:vMerge/>
          <w:shd w:val="clear" w:color="auto" w:fill="auto"/>
        </w:tcPr>
        <w:p w:rsidR="00AE5DE4" w:rsidRPr="00CA1227" w:rsidRDefault="00AE5DE4" w:rsidP="00AE5DE4">
          <w:pPr>
            <w:pStyle w:val="Encabezado"/>
            <w:rPr>
              <w:rFonts w:asciiTheme="majorHAnsi" w:eastAsia="Calibri" w:hAnsiTheme="majorHAnsi"/>
              <w:noProof/>
              <w:sz w:val="32"/>
              <w:lang w:eastAsia="es-MX"/>
            </w:rPr>
          </w:pPr>
        </w:p>
      </w:tc>
      <w:tc>
        <w:tcPr>
          <w:tcW w:w="2889" w:type="pct"/>
          <w:gridSpan w:val="3"/>
          <w:shd w:val="clear" w:color="auto" w:fill="auto"/>
          <w:vAlign w:val="center"/>
        </w:tcPr>
        <w:p w:rsidR="00AE5DE4" w:rsidRPr="0010252E" w:rsidRDefault="00AE5DE4" w:rsidP="00AE5DE4">
          <w:pPr>
            <w:pStyle w:val="Encabezado"/>
            <w:jc w:val="center"/>
            <w:rPr>
              <w:rFonts w:eastAsia="Calibri"/>
            </w:rPr>
          </w:pPr>
          <w:r w:rsidRPr="0010252E">
            <w:rPr>
              <w:rFonts w:eastAsia="Calibri"/>
              <w:b/>
            </w:rPr>
            <w:t>INSPECCIÓN</w:t>
          </w:r>
          <w:r>
            <w:rPr>
              <w:rFonts w:eastAsia="Calibri"/>
              <w:b/>
            </w:rPr>
            <w:t xml:space="preserve"> PARA TANQUES ATMOSFÉRICOS Y RECIPIENTES A PRESIÓN</w:t>
          </w:r>
        </w:p>
      </w:tc>
      <w:tc>
        <w:tcPr>
          <w:tcW w:w="1031" w:type="pct"/>
          <w:shd w:val="clear" w:color="auto" w:fill="auto"/>
          <w:vAlign w:val="center"/>
        </w:tcPr>
        <w:p w:rsidR="00AE5DE4" w:rsidRPr="0010252E" w:rsidRDefault="00AE5DE4" w:rsidP="00AE5DE4">
          <w:pPr>
            <w:pStyle w:val="Encabezado"/>
            <w:jc w:val="center"/>
            <w:rPr>
              <w:rFonts w:eastAsia="Calibri"/>
              <w:b/>
            </w:rPr>
          </w:pPr>
          <w:r w:rsidRPr="0010252E">
            <w:rPr>
              <w:rFonts w:eastAsia="Calibri"/>
              <w:b/>
            </w:rPr>
            <w:t>{Código SAP}</w:t>
          </w:r>
        </w:p>
      </w:tc>
    </w:tr>
    <w:tr w:rsidR="00AE5DE4" w:rsidRPr="00CA1227" w:rsidTr="00B478D3">
      <w:trPr>
        <w:cantSplit/>
        <w:trHeight w:val="283"/>
      </w:trPr>
      <w:tc>
        <w:tcPr>
          <w:tcW w:w="1080" w:type="pct"/>
          <w:vMerge/>
          <w:shd w:val="clear" w:color="auto" w:fill="auto"/>
        </w:tcPr>
        <w:p w:rsidR="00AE5DE4" w:rsidRPr="00CA1227" w:rsidRDefault="00AE5DE4" w:rsidP="00AE5DE4">
          <w:pPr>
            <w:pStyle w:val="Encabezado"/>
            <w:rPr>
              <w:rFonts w:asciiTheme="majorHAnsi" w:eastAsia="Calibri" w:hAnsiTheme="majorHAnsi"/>
              <w:noProof/>
              <w:sz w:val="32"/>
              <w:lang w:eastAsia="es-MX"/>
            </w:rPr>
          </w:pPr>
        </w:p>
      </w:tc>
      <w:tc>
        <w:tcPr>
          <w:tcW w:w="828" w:type="pct"/>
          <w:shd w:val="clear" w:color="auto" w:fill="auto"/>
          <w:vAlign w:val="center"/>
        </w:tcPr>
        <w:p w:rsidR="00AE5DE4" w:rsidRPr="0010252E" w:rsidRDefault="00AE5DE4" w:rsidP="00AE5DE4">
          <w:pPr>
            <w:pStyle w:val="Encabezado"/>
            <w:ind w:hanging="72"/>
            <w:jc w:val="center"/>
            <w:rPr>
              <w:rFonts w:eastAsia="Calibri"/>
              <w:b/>
            </w:rPr>
          </w:pPr>
          <w:r w:rsidRPr="0010252E">
            <w:rPr>
              <w:rFonts w:eastAsia="Calibri"/>
            </w:rPr>
            <w:t>FO.348</w:t>
          </w:r>
        </w:p>
      </w:tc>
      <w:tc>
        <w:tcPr>
          <w:tcW w:w="756" w:type="pct"/>
          <w:shd w:val="clear" w:color="auto" w:fill="auto"/>
          <w:vAlign w:val="center"/>
        </w:tcPr>
        <w:p w:rsidR="00AE5DE4" w:rsidRPr="0010252E" w:rsidRDefault="00AE5DE4" w:rsidP="00AE5DE4">
          <w:pPr>
            <w:pStyle w:val="Encabezado"/>
            <w:jc w:val="center"/>
            <w:rPr>
              <w:rFonts w:eastAsia="Calibri"/>
              <w:b/>
            </w:rPr>
          </w:pPr>
          <w:r w:rsidRPr="0010252E">
            <w:rPr>
              <w:rFonts w:eastAsia="Calibri"/>
            </w:rPr>
            <w:t>Revisión 2</w:t>
          </w:r>
        </w:p>
      </w:tc>
      <w:tc>
        <w:tcPr>
          <w:tcW w:w="1305" w:type="pct"/>
          <w:shd w:val="clear" w:color="auto" w:fill="auto"/>
          <w:vAlign w:val="center"/>
        </w:tcPr>
        <w:p w:rsidR="00AE5DE4" w:rsidRPr="0010252E" w:rsidRDefault="00AE5DE4" w:rsidP="00AE5DE4">
          <w:pPr>
            <w:pStyle w:val="Encabezado"/>
            <w:ind w:hanging="72"/>
            <w:jc w:val="center"/>
            <w:rPr>
              <w:rFonts w:eastAsia="Calibri"/>
              <w:b/>
            </w:rPr>
          </w:pPr>
          <w:r w:rsidRPr="0010252E">
            <w:rPr>
              <w:rFonts w:eastAsia="Calibri"/>
            </w:rPr>
            <w:t xml:space="preserve">Vigente desde: 15.10.2020 </w:t>
          </w:r>
        </w:p>
      </w:tc>
      <w:tc>
        <w:tcPr>
          <w:tcW w:w="1031" w:type="pct"/>
          <w:shd w:val="clear" w:color="auto" w:fill="auto"/>
          <w:vAlign w:val="center"/>
        </w:tcPr>
        <w:p w:rsidR="00AE5DE4" w:rsidRPr="0010252E" w:rsidRDefault="00AE5DE4" w:rsidP="00143EA8">
          <w:pPr>
            <w:pStyle w:val="Encabezado"/>
            <w:jc w:val="center"/>
            <w:rPr>
              <w:rFonts w:eastAsia="Calibri"/>
            </w:rPr>
          </w:pPr>
          <w:r w:rsidRPr="0010252E">
            <w:rPr>
              <w:rFonts w:eastAsia="Calibri"/>
            </w:rPr>
            <w:t xml:space="preserve">Página: </w:t>
          </w:r>
          <w:r w:rsidRPr="0010252E">
            <w:rPr>
              <w:rFonts w:eastAsia="Calibri"/>
            </w:rPr>
            <w:fldChar w:fldCharType="begin"/>
          </w:r>
          <w:r w:rsidRPr="0010252E">
            <w:rPr>
              <w:rFonts w:eastAsia="Calibri"/>
            </w:rPr>
            <w:instrText xml:space="preserve"> PAGE  \* MERGEFORMAT </w:instrText>
          </w:r>
          <w:r w:rsidRPr="0010252E">
            <w:rPr>
              <w:rFonts w:eastAsia="Calibri"/>
            </w:rPr>
            <w:fldChar w:fldCharType="separate"/>
          </w:r>
          <w:r w:rsidR="00314D3E">
            <w:rPr>
              <w:rFonts w:eastAsia="Calibri"/>
              <w:noProof/>
            </w:rPr>
            <w:t>1</w:t>
          </w:r>
          <w:r w:rsidRPr="0010252E">
            <w:rPr>
              <w:rFonts w:eastAsia="Calibri"/>
            </w:rPr>
            <w:fldChar w:fldCharType="end"/>
          </w:r>
          <w:r w:rsidRPr="0010252E">
            <w:rPr>
              <w:rFonts w:eastAsia="Calibri"/>
            </w:rPr>
            <w:t xml:space="preserve"> de </w:t>
          </w:r>
          <w:r w:rsidR="00143EA8">
            <w:rPr>
              <w:rStyle w:val="Nmerodepgina"/>
            </w:rPr>
            <w:t>4</w:t>
          </w:r>
        </w:p>
      </w:tc>
    </w:tr>
  </w:tbl>
  <w:p w:rsidR="00AE5DE4" w:rsidRDefault="00AE5DE4">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23F3FAC"/>
    <w:multiLevelType w:val="hybridMultilevel"/>
    <w:tmpl w:val="D0B08D0C"/>
    <w:lvl w:ilvl="0" w:tplc="400A0001">
      <w:start w:val="1"/>
      <w:numFmt w:val="bullet"/>
      <w:lvlText w:val=""/>
      <w:lvlJc w:val="left"/>
      <w:pPr>
        <w:ind w:left="1146" w:hanging="360"/>
      </w:pPr>
      <w:rPr>
        <w:rFonts w:ascii="Symbol" w:hAnsi="Symbol" w:hint="default"/>
      </w:rPr>
    </w:lvl>
    <w:lvl w:ilvl="1" w:tplc="400A0003" w:tentative="1">
      <w:start w:val="1"/>
      <w:numFmt w:val="bullet"/>
      <w:lvlText w:val="o"/>
      <w:lvlJc w:val="left"/>
      <w:pPr>
        <w:ind w:left="1866" w:hanging="360"/>
      </w:pPr>
      <w:rPr>
        <w:rFonts w:ascii="Courier New" w:hAnsi="Courier New" w:cs="Courier New" w:hint="default"/>
      </w:rPr>
    </w:lvl>
    <w:lvl w:ilvl="2" w:tplc="400A0005" w:tentative="1">
      <w:start w:val="1"/>
      <w:numFmt w:val="bullet"/>
      <w:lvlText w:val=""/>
      <w:lvlJc w:val="left"/>
      <w:pPr>
        <w:ind w:left="2586" w:hanging="360"/>
      </w:pPr>
      <w:rPr>
        <w:rFonts w:ascii="Wingdings" w:hAnsi="Wingdings" w:hint="default"/>
      </w:rPr>
    </w:lvl>
    <w:lvl w:ilvl="3" w:tplc="400A0001" w:tentative="1">
      <w:start w:val="1"/>
      <w:numFmt w:val="bullet"/>
      <w:lvlText w:val=""/>
      <w:lvlJc w:val="left"/>
      <w:pPr>
        <w:ind w:left="3306" w:hanging="360"/>
      </w:pPr>
      <w:rPr>
        <w:rFonts w:ascii="Symbol" w:hAnsi="Symbol" w:hint="default"/>
      </w:rPr>
    </w:lvl>
    <w:lvl w:ilvl="4" w:tplc="400A0003" w:tentative="1">
      <w:start w:val="1"/>
      <w:numFmt w:val="bullet"/>
      <w:lvlText w:val="o"/>
      <w:lvlJc w:val="left"/>
      <w:pPr>
        <w:ind w:left="4026" w:hanging="360"/>
      </w:pPr>
      <w:rPr>
        <w:rFonts w:ascii="Courier New" w:hAnsi="Courier New" w:cs="Courier New" w:hint="default"/>
      </w:rPr>
    </w:lvl>
    <w:lvl w:ilvl="5" w:tplc="400A0005" w:tentative="1">
      <w:start w:val="1"/>
      <w:numFmt w:val="bullet"/>
      <w:lvlText w:val=""/>
      <w:lvlJc w:val="left"/>
      <w:pPr>
        <w:ind w:left="4746" w:hanging="360"/>
      </w:pPr>
      <w:rPr>
        <w:rFonts w:ascii="Wingdings" w:hAnsi="Wingdings" w:hint="default"/>
      </w:rPr>
    </w:lvl>
    <w:lvl w:ilvl="6" w:tplc="400A0001" w:tentative="1">
      <w:start w:val="1"/>
      <w:numFmt w:val="bullet"/>
      <w:lvlText w:val=""/>
      <w:lvlJc w:val="left"/>
      <w:pPr>
        <w:ind w:left="5466" w:hanging="360"/>
      </w:pPr>
      <w:rPr>
        <w:rFonts w:ascii="Symbol" w:hAnsi="Symbol" w:hint="default"/>
      </w:rPr>
    </w:lvl>
    <w:lvl w:ilvl="7" w:tplc="400A0003" w:tentative="1">
      <w:start w:val="1"/>
      <w:numFmt w:val="bullet"/>
      <w:lvlText w:val="o"/>
      <w:lvlJc w:val="left"/>
      <w:pPr>
        <w:ind w:left="6186" w:hanging="360"/>
      </w:pPr>
      <w:rPr>
        <w:rFonts w:ascii="Courier New" w:hAnsi="Courier New" w:cs="Courier New" w:hint="default"/>
      </w:rPr>
    </w:lvl>
    <w:lvl w:ilvl="8" w:tplc="400A0005" w:tentative="1">
      <w:start w:val="1"/>
      <w:numFmt w:val="bullet"/>
      <w:lvlText w:val=""/>
      <w:lvlJc w:val="left"/>
      <w:pPr>
        <w:ind w:left="6906" w:hanging="360"/>
      </w:pPr>
      <w:rPr>
        <w:rFonts w:ascii="Wingdings" w:hAnsi="Wingdings" w:hint="default"/>
      </w:rPr>
    </w:lvl>
  </w:abstractNum>
  <w:abstractNum w:abstractNumId="1" w15:restartNumberingAfterBreak="0">
    <w:nsid w:val="188019C3"/>
    <w:multiLevelType w:val="multilevel"/>
    <w:tmpl w:val="375897A2"/>
    <w:lvl w:ilvl="0">
      <w:start w:val="1"/>
      <w:numFmt w:val="decimal"/>
      <w:pStyle w:val="Ttulo1"/>
      <w:lvlText w:val="%1"/>
      <w:lvlJc w:val="left"/>
      <w:pPr>
        <w:ind w:left="432" w:hanging="432"/>
      </w:pPr>
      <w:rPr>
        <w:rFonts w:hint="default"/>
      </w:rPr>
    </w:lvl>
    <w:lvl w:ilvl="1">
      <w:start w:val="1"/>
      <w:numFmt w:val="decimal"/>
      <w:pStyle w:val="Ttulo2"/>
      <w:lvlText w:val="%1.%2"/>
      <w:lvlJc w:val="left"/>
      <w:pPr>
        <w:ind w:left="576" w:hanging="576"/>
      </w:pPr>
      <w:rPr>
        <w:i w:val="0"/>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 w15:restartNumberingAfterBreak="0">
    <w:nsid w:val="3EA617B5"/>
    <w:multiLevelType w:val="hybridMultilevel"/>
    <w:tmpl w:val="485680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7536FE7"/>
    <w:multiLevelType w:val="hybridMultilevel"/>
    <w:tmpl w:val="F4F8613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4" w15:restartNumberingAfterBreak="0">
    <w:nsid w:val="52525C08"/>
    <w:multiLevelType w:val="hybridMultilevel"/>
    <w:tmpl w:val="67767C7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5B5D550F"/>
    <w:multiLevelType w:val="hybridMultilevel"/>
    <w:tmpl w:val="AAB67E7E"/>
    <w:lvl w:ilvl="0" w:tplc="48FA3038">
      <w:start w:val="1"/>
      <w:numFmt w:val="bullet"/>
      <w:pStyle w:val="Listaconvietas"/>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6" w15:restartNumberingAfterBreak="0">
    <w:nsid w:val="5DBA7F5E"/>
    <w:multiLevelType w:val="hybridMultilevel"/>
    <w:tmpl w:val="FFA4E108"/>
    <w:lvl w:ilvl="0" w:tplc="2D44DAF6">
      <w:start w:val="1"/>
      <w:numFmt w:val="bullet"/>
      <w:lvlText w:val=""/>
      <w:lvlJc w:val="left"/>
      <w:pPr>
        <w:ind w:left="1287" w:hanging="360"/>
      </w:pPr>
      <w:rPr>
        <w:rFonts w:ascii="Wingdings" w:hAnsi="Wingdings" w:hint="default"/>
      </w:rPr>
    </w:lvl>
    <w:lvl w:ilvl="1" w:tplc="400A0003" w:tentative="1">
      <w:start w:val="1"/>
      <w:numFmt w:val="bullet"/>
      <w:lvlText w:val="o"/>
      <w:lvlJc w:val="left"/>
      <w:pPr>
        <w:ind w:left="2007" w:hanging="360"/>
      </w:pPr>
      <w:rPr>
        <w:rFonts w:ascii="Courier New" w:hAnsi="Courier New" w:cs="Courier New" w:hint="default"/>
      </w:rPr>
    </w:lvl>
    <w:lvl w:ilvl="2" w:tplc="400A0005" w:tentative="1">
      <w:start w:val="1"/>
      <w:numFmt w:val="bullet"/>
      <w:lvlText w:val=""/>
      <w:lvlJc w:val="left"/>
      <w:pPr>
        <w:ind w:left="2727" w:hanging="360"/>
      </w:pPr>
      <w:rPr>
        <w:rFonts w:ascii="Wingdings" w:hAnsi="Wingdings" w:hint="default"/>
      </w:rPr>
    </w:lvl>
    <w:lvl w:ilvl="3" w:tplc="400A0001" w:tentative="1">
      <w:start w:val="1"/>
      <w:numFmt w:val="bullet"/>
      <w:lvlText w:val=""/>
      <w:lvlJc w:val="left"/>
      <w:pPr>
        <w:ind w:left="3447" w:hanging="360"/>
      </w:pPr>
      <w:rPr>
        <w:rFonts w:ascii="Symbol" w:hAnsi="Symbol" w:hint="default"/>
      </w:rPr>
    </w:lvl>
    <w:lvl w:ilvl="4" w:tplc="400A0003" w:tentative="1">
      <w:start w:val="1"/>
      <w:numFmt w:val="bullet"/>
      <w:lvlText w:val="o"/>
      <w:lvlJc w:val="left"/>
      <w:pPr>
        <w:ind w:left="4167" w:hanging="360"/>
      </w:pPr>
      <w:rPr>
        <w:rFonts w:ascii="Courier New" w:hAnsi="Courier New" w:cs="Courier New" w:hint="default"/>
      </w:rPr>
    </w:lvl>
    <w:lvl w:ilvl="5" w:tplc="400A0005" w:tentative="1">
      <w:start w:val="1"/>
      <w:numFmt w:val="bullet"/>
      <w:lvlText w:val=""/>
      <w:lvlJc w:val="left"/>
      <w:pPr>
        <w:ind w:left="4887" w:hanging="360"/>
      </w:pPr>
      <w:rPr>
        <w:rFonts w:ascii="Wingdings" w:hAnsi="Wingdings" w:hint="default"/>
      </w:rPr>
    </w:lvl>
    <w:lvl w:ilvl="6" w:tplc="400A0001" w:tentative="1">
      <w:start w:val="1"/>
      <w:numFmt w:val="bullet"/>
      <w:lvlText w:val=""/>
      <w:lvlJc w:val="left"/>
      <w:pPr>
        <w:ind w:left="5607" w:hanging="360"/>
      </w:pPr>
      <w:rPr>
        <w:rFonts w:ascii="Symbol" w:hAnsi="Symbol" w:hint="default"/>
      </w:rPr>
    </w:lvl>
    <w:lvl w:ilvl="7" w:tplc="400A0003" w:tentative="1">
      <w:start w:val="1"/>
      <w:numFmt w:val="bullet"/>
      <w:lvlText w:val="o"/>
      <w:lvlJc w:val="left"/>
      <w:pPr>
        <w:ind w:left="6327" w:hanging="360"/>
      </w:pPr>
      <w:rPr>
        <w:rFonts w:ascii="Courier New" w:hAnsi="Courier New" w:cs="Courier New" w:hint="default"/>
      </w:rPr>
    </w:lvl>
    <w:lvl w:ilvl="8" w:tplc="400A0005" w:tentative="1">
      <w:start w:val="1"/>
      <w:numFmt w:val="bullet"/>
      <w:lvlText w:val=""/>
      <w:lvlJc w:val="left"/>
      <w:pPr>
        <w:ind w:left="7047" w:hanging="360"/>
      </w:pPr>
      <w:rPr>
        <w:rFonts w:ascii="Wingdings" w:hAnsi="Wingdings" w:hint="default"/>
      </w:rPr>
    </w:lvl>
  </w:abstractNum>
  <w:abstractNum w:abstractNumId="7" w15:restartNumberingAfterBreak="0">
    <w:nsid w:val="66B91B2F"/>
    <w:multiLevelType w:val="multilevel"/>
    <w:tmpl w:val="7222E73C"/>
    <w:lvl w:ilvl="0">
      <w:start w:val="1"/>
      <w:numFmt w:val="decimal"/>
      <w:lvlText w:val="%1"/>
      <w:lvlJc w:val="left"/>
      <w:pPr>
        <w:ind w:left="432" w:hanging="432"/>
      </w:pPr>
      <w:rPr>
        <w:rFonts w:hint="default"/>
      </w:rPr>
    </w:lvl>
    <w:lvl w:ilvl="1">
      <w:start w:val="1"/>
      <w:numFmt w:val="decimal"/>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1713" w:hanging="720"/>
      </w:pPr>
      <w:rPr>
        <w:rFonts w:hint="default"/>
        <w:b/>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6F64185E"/>
    <w:multiLevelType w:val="hybridMultilevel"/>
    <w:tmpl w:val="13DAEE7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7"/>
  </w:num>
  <w:num w:numId="3">
    <w:abstractNumId w:val="7"/>
  </w:num>
  <w:num w:numId="4">
    <w:abstractNumId w:val="7"/>
  </w:num>
  <w:num w:numId="5">
    <w:abstractNumId w:val="7"/>
  </w:num>
  <w:num w:numId="6">
    <w:abstractNumId w:val="7"/>
  </w:num>
  <w:num w:numId="7">
    <w:abstractNumId w:val="7"/>
  </w:num>
  <w:num w:numId="8">
    <w:abstractNumId w:val="7"/>
  </w:num>
  <w:num w:numId="9">
    <w:abstractNumId w:val="7"/>
  </w:num>
  <w:num w:numId="10">
    <w:abstractNumId w:val="1"/>
  </w:num>
  <w:num w:numId="11">
    <w:abstractNumId w:val="1"/>
  </w:num>
  <w:num w:numId="12">
    <w:abstractNumId w:val="1"/>
  </w:num>
  <w:num w:numId="13">
    <w:abstractNumId w:val="1"/>
  </w:num>
  <w:num w:numId="14">
    <w:abstractNumId w:val="6"/>
  </w:num>
  <w:num w:numId="15">
    <w:abstractNumId w:val="5"/>
  </w:num>
  <w:num w:numId="16">
    <w:abstractNumId w:val="3"/>
  </w:num>
  <w:num w:numId="17">
    <w:abstractNumId w:val="2"/>
  </w:num>
  <w:num w:numId="18">
    <w:abstractNumId w:val="8"/>
  </w:num>
  <w:num w:numId="19">
    <w:abstractNumId w:val="4"/>
  </w:num>
  <w:num w:numId="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E5DE4"/>
    <w:rsid w:val="00143EA8"/>
    <w:rsid w:val="001F5241"/>
    <w:rsid w:val="00207B4B"/>
    <w:rsid w:val="002678CF"/>
    <w:rsid w:val="00293C0D"/>
    <w:rsid w:val="00314D3E"/>
    <w:rsid w:val="003705F1"/>
    <w:rsid w:val="00754C47"/>
    <w:rsid w:val="00801818"/>
    <w:rsid w:val="00882BD0"/>
    <w:rsid w:val="00AE5DE4"/>
    <w:rsid w:val="00BA0E3C"/>
    <w:rsid w:val="00BA6929"/>
    <w:rsid w:val="00F97156"/>
  </w:rsids>
  <m:mathPr>
    <m:mathFont m:val="Cambria Math"/>
    <m:brkBin m:val="before"/>
    <m:brkBinSub m:val="--"/>
    <m:smallFrac m:val="0"/>
    <m:dispDef/>
    <m:lMargin m:val="0"/>
    <m:rMargin m:val="0"/>
    <m:defJc m:val="centerGroup"/>
    <m:wrapIndent m:val="1440"/>
    <m:intLim m:val="subSup"/>
    <m:naryLim m:val="undOvr"/>
  </m:mathPr>
  <w:themeFontLang w:val="es-B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E3F7FE"/>
  <w15:chartTrackingRefBased/>
  <w15:docId w15:val="{704D4BCA-70C4-439D-A8DC-A6724C4C5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B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qFormat/>
    <w:rsid w:val="00882BD0"/>
    <w:pPr>
      <w:keepNext/>
      <w:widowControl w:val="0"/>
      <w:numPr>
        <w:numId w:val="13"/>
      </w:numPr>
      <w:spacing w:before="240" w:after="60" w:line="480" w:lineRule="auto"/>
      <w:jc w:val="both"/>
      <w:outlineLvl w:val="0"/>
    </w:pPr>
    <w:rPr>
      <w:rFonts w:ascii="Times New Roman" w:eastAsia="Times New Roman" w:hAnsi="Times New Roman" w:cs="Times New Roman"/>
      <w:b/>
      <w:snapToGrid w:val="0"/>
      <w:kern w:val="28"/>
      <w:sz w:val="24"/>
      <w:szCs w:val="20"/>
      <w:lang w:val="es-ES"/>
    </w:rPr>
  </w:style>
  <w:style w:type="paragraph" w:styleId="Ttulo2">
    <w:name w:val="heading 2"/>
    <w:basedOn w:val="Normal"/>
    <w:next w:val="Normal"/>
    <w:link w:val="Ttulo2Car"/>
    <w:qFormat/>
    <w:rsid w:val="00882BD0"/>
    <w:pPr>
      <w:keepNext/>
      <w:widowControl w:val="0"/>
      <w:numPr>
        <w:ilvl w:val="1"/>
        <w:numId w:val="13"/>
      </w:numPr>
      <w:spacing w:before="240" w:after="120" w:line="240" w:lineRule="auto"/>
      <w:jc w:val="both"/>
      <w:outlineLvl w:val="1"/>
    </w:pPr>
    <w:rPr>
      <w:rFonts w:ascii="Times New Roman" w:eastAsia="Times New Roman" w:hAnsi="Times New Roman" w:cs="Times New Roman"/>
      <w:b/>
      <w:snapToGrid w:val="0"/>
      <w:color w:val="000000" w:themeColor="text1"/>
      <w:kern w:val="24"/>
      <w:lang w:val="es-ES"/>
    </w:rPr>
  </w:style>
  <w:style w:type="paragraph" w:styleId="Ttulo3">
    <w:name w:val="heading 3"/>
    <w:basedOn w:val="Normal"/>
    <w:next w:val="Normal"/>
    <w:link w:val="Ttulo3Car"/>
    <w:autoRedefine/>
    <w:qFormat/>
    <w:rsid w:val="00882BD0"/>
    <w:pPr>
      <w:keepNext/>
      <w:widowControl w:val="0"/>
      <w:numPr>
        <w:ilvl w:val="2"/>
        <w:numId w:val="13"/>
      </w:numPr>
      <w:spacing w:before="120" w:after="60" w:line="240" w:lineRule="auto"/>
      <w:jc w:val="both"/>
      <w:outlineLvl w:val="2"/>
    </w:pPr>
    <w:rPr>
      <w:rFonts w:ascii="Times New Roman" w:eastAsia="Times New Roman" w:hAnsi="Times New Roman" w:cs="Times New Roman"/>
      <w:b/>
      <w:snapToGrid w:val="0"/>
      <w:kern w:val="24"/>
      <w:lang w:val="es-ES"/>
    </w:rPr>
  </w:style>
  <w:style w:type="paragraph" w:styleId="Ttulo4">
    <w:name w:val="heading 4"/>
    <w:basedOn w:val="Normal"/>
    <w:next w:val="Normal"/>
    <w:link w:val="Ttulo4Car"/>
    <w:qFormat/>
    <w:rsid w:val="00882BD0"/>
    <w:pPr>
      <w:keepNext/>
      <w:widowControl w:val="0"/>
      <w:numPr>
        <w:ilvl w:val="3"/>
        <w:numId w:val="13"/>
      </w:numPr>
      <w:spacing w:before="240" w:after="60" w:line="240" w:lineRule="auto"/>
      <w:jc w:val="both"/>
      <w:outlineLvl w:val="3"/>
    </w:pPr>
    <w:rPr>
      <w:rFonts w:ascii="Arial" w:eastAsia="Times New Roman" w:hAnsi="Arial" w:cs="Times New Roman"/>
      <w:b/>
      <w:snapToGrid w:val="0"/>
      <w:sz w:val="24"/>
      <w:szCs w:val="20"/>
      <w:lang w:val="es-ES"/>
    </w:rPr>
  </w:style>
  <w:style w:type="paragraph" w:styleId="Ttulo5">
    <w:name w:val="heading 5"/>
    <w:basedOn w:val="Normal"/>
    <w:next w:val="Normal"/>
    <w:link w:val="Ttulo5Car"/>
    <w:qFormat/>
    <w:rsid w:val="00801818"/>
    <w:pPr>
      <w:widowControl w:val="0"/>
      <w:numPr>
        <w:ilvl w:val="4"/>
        <w:numId w:val="13"/>
      </w:numPr>
      <w:spacing w:before="240" w:after="60" w:line="240" w:lineRule="auto"/>
      <w:jc w:val="both"/>
      <w:outlineLvl w:val="4"/>
    </w:pPr>
    <w:rPr>
      <w:rFonts w:ascii="Arial" w:eastAsia="Times New Roman" w:hAnsi="Arial" w:cs="Times New Roman"/>
      <w:snapToGrid w:val="0"/>
      <w:szCs w:val="20"/>
      <w:lang w:val="es-ES"/>
    </w:rPr>
  </w:style>
  <w:style w:type="paragraph" w:styleId="Ttulo6">
    <w:name w:val="heading 6"/>
    <w:basedOn w:val="Normal"/>
    <w:next w:val="Normal"/>
    <w:link w:val="Ttulo6Car"/>
    <w:qFormat/>
    <w:rsid w:val="00801818"/>
    <w:pPr>
      <w:widowControl w:val="0"/>
      <w:numPr>
        <w:ilvl w:val="5"/>
        <w:numId w:val="13"/>
      </w:numPr>
      <w:spacing w:before="240" w:after="60" w:line="240" w:lineRule="auto"/>
      <w:jc w:val="both"/>
      <w:outlineLvl w:val="5"/>
    </w:pPr>
    <w:rPr>
      <w:rFonts w:ascii="Times New Roman" w:eastAsia="Times New Roman" w:hAnsi="Times New Roman" w:cs="Times New Roman"/>
      <w:i/>
      <w:snapToGrid w:val="0"/>
      <w:szCs w:val="20"/>
      <w:lang w:val="es-ES"/>
    </w:rPr>
  </w:style>
  <w:style w:type="paragraph" w:styleId="Ttulo7">
    <w:name w:val="heading 7"/>
    <w:basedOn w:val="Normal"/>
    <w:next w:val="Normal"/>
    <w:link w:val="Ttulo7Car"/>
    <w:qFormat/>
    <w:rsid w:val="00801818"/>
    <w:pPr>
      <w:widowControl w:val="0"/>
      <w:numPr>
        <w:ilvl w:val="6"/>
        <w:numId w:val="13"/>
      </w:numPr>
      <w:spacing w:before="240" w:after="60" w:line="240" w:lineRule="auto"/>
      <w:jc w:val="both"/>
      <w:outlineLvl w:val="6"/>
    </w:pPr>
    <w:rPr>
      <w:rFonts w:ascii="Arial" w:eastAsia="Times New Roman" w:hAnsi="Arial" w:cs="Times New Roman"/>
      <w:snapToGrid w:val="0"/>
      <w:sz w:val="20"/>
      <w:szCs w:val="20"/>
      <w:lang w:val="es-ES"/>
    </w:rPr>
  </w:style>
  <w:style w:type="paragraph" w:styleId="Ttulo8">
    <w:name w:val="heading 8"/>
    <w:basedOn w:val="Normal"/>
    <w:next w:val="Normal"/>
    <w:link w:val="Ttulo8Car"/>
    <w:qFormat/>
    <w:rsid w:val="00801818"/>
    <w:pPr>
      <w:keepNext/>
      <w:numPr>
        <w:ilvl w:val="7"/>
        <w:numId w:val="13"/>
      </w:numPr>
      <w:spacing w:after="0" w:line="240" w:lineRule="auto"/>
      <w:jc w:val="center"/>
      <w:outlineLvl w:val="7"/>
    </w:pPr>
    <w:rPr>
      <w:rFonts w:ascii="Times New Roman" w:eastAsia="Times New Roman" w:hAnsi="Times New Roman" w:cs="Times New Roman"/>
      <w:b/>
      <w:sz w:val="24"/>
      <w:szCs w:val="20"/>
      <w:lang w:val="es-ES"/>
    </w:rPr>
  </w:style>
  <w:style w:type="paragraph" w:styleId="Ttulo9">
    <w:name w:val="heading 9"/>
    <w:basedOn w:val="Normal"/>
    <w:next w:val="Normal"/>
    <w:link w:val="Ttulo9Car"/>
    <w:qFormat/>
    <w:rsid w:val="00801818"/>
    <w:pPr>
      <w:keepNext/>
      <w:numPr>
        <w:ilvl w:val="8"/>
        <w:numId w:val="13"/>
      </w:numPr>
      <w:spacing w:before="240" w:after="0" w:line="240" w:lineRule="auto"/>
      <w:jc w:val="center"/>
      <w:outlineLvl w:val="8"/>
    </w:pPr>
    <w:rPr>
      <w:rFonts w:ascii="Times New Roman" w:eastAsia="Times New Roman" w:hAnsi="Times New Roman" w:cs="Times New Roman"/>
      <w:b/>
      <w:sz w:val="28"/>
      <w:szCs w:val="20"/>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TITULO1">
    <w:name w:val="TITULO 1"/>
    <w:basedOn w:val="Ttulo1"/>
    <w:link w:val="TITULO1Char"/>
    <w:qFormat/>
    <w:rsid w:val="00AE5DE4"/>
    <w:pPr>
      <w:numPr>
        <w:numId w:val="0"/>
      </w:numPr>
      <w:spacing w:before="120" w:after="120" w:line="240" w:lineRule="auto"/>
    </w:pPr>
    <w:rPr>
      <w:caps/>
      <w:color w:val="000000" w:themeColor="text1"/>
      <w:sz w:val="28"/>
    </w:rPr>
  </w:style>
  <w:style w:type="character" w:customStyle="1" w:styleId="TITULO1Char">
    <w:name w:val="TITULO 1 Char"/>
    <w:basedOn w:val="Fuentedeprrafopredeter"/>
    <w:link w:val="TITULO1"/>
    <w:rsid w:val="00AE5DE4"/>
    <w:rPr>
      <w:rFonts w:ascii="Times New Roman" w:eastAsia="Times New Roman" w:hAnsi="Times New Roman" w:cs="Times New Roman"/>
      <w:b/>
      <w:caps/>
      <w:snapToGrid w:val="0"/>
      <w:color w:val="000000" w:themeColor="text1"/>
      <w:kern w:val="28"/>
      <w:sz w:val="28"/>
      <w:szCs w:val="20"/>
      <w:lang w:val="es-ES"/>
    </w:rPr>
  </w:style>
  <w:style w:type="character" w:customStyle="1" w:styleId="Ttulo1Car">
    <w:name w:val="Título 1 Car"/>
    <w:basedOn w:val="Fuentedeprrafopredeter"/>
    <w:link w:val="Ttulo1"/>
    <w:rsid w:val="00882BD0"/>
    <w:rPr>
      <w:rFonts w:ascii="Times New Roman" w:eastAsia="Times New Roman" w:hAnsi="Times New Roman" w:cs="Times New Roman"/>
      <w:b/>
      <w:snapToGrid w:val="0"/>
      <w:kern w:val="28"/>
      <w:sz w:val="24"/>
      <w:szCs w:val="20"/>
      <w:lang w:val="es-ES"/>
    </w:rPr>
  </w:style>
  <w:style w:type="paragraph" w:customStyle="1" w:styleId="SUBTITULO">
    <w:name w:val="SUB TITULO"/>
    <w:basedOn w:val="Normal"/>
    <w:next w:val="Normal"/>
    <w:link w:val="SUBTITULOCar"/>
    <w:qFormat/>
    <w:rsid w:val="002678CF"/>
    <w:pPr>
      <w:jc w:val="both"/>
    </w:pPr>
    <w:rPr>
      <w:rFonts w:ascii="Arial" w:eastAsiaTheme="majorEastAsia" w:hAnsi="Arial" w:cstheme="majorBidi"/>
      <w:b/>
      <w:color w:val="000000" w:themeColor="text1"/>
      <w:sz w:val="28"/>
      <w:szCs w:val="32"/>
      <w:u w:val="single"/>
      <w:lang w:val="en-US"/>
    </w:rPr>
  </w:style>
  <w:style w:type="character" w:customStyle="1" w:styleId="SUBTITULOCar">
    <w:name w:val="SUB TITULO Car"/>
    <w:basedOn w:val="TITULO1Char"/>
    <w:link w:val="SUBTITULO"/>
    <w:rsid w:val="002678CF"/>
    <w:rPr>
      <w:rFonts w:ascii="Arial" w:eastAsiaTheme="majorEastAsia" w:hAnsi="Arial" w:cstheme="majorBidi"/>
      <w:b/>
      <w:caps/>
      <w:snapToGrid w:val="0"/>
      <w:color w:val="000000" w:themeColor="text1"/>
      <w:kern w:val="28"/>
      <w:sz w:val="28"/>
      <w:szCs w:val="32"/>
      <w:u w:val="single"/>
      <w:lang w:val="en-US"/>
    </w:rPr>
  </w:style>
  <w:style w:type="paragraph" w:styleId="Descripcin">
    <w:name w:val="caption"/>
    <w:basedOn w:val="Normal"/>
    <w:next w:val="Normal"/>
    <w:autoRedefine/>
    <w:uiPriority w:val="35"/>
    <w:unhideWhenUsed/>
    <w:qFormat/>
    <w:rsid w:val="00754C47"/>
    <w:pPr>
      <w:spacing w:after="200" w:line="240" w:lineRule="auto"/>
      <w:jc w:val="both"/>
    </w:pPr>
    <w:rPr>
      <w:rFonts w:ascii="Arial" w:eastAsiaTheme="minorEastAsia" w:hAnsi="Arial"/>
      <w:b/>
      <w:bCs/>
      <w:sz w:val="18"/>
      <w:szCs w:val="18"/>
    </w:rPr>
  </w:style>
  <w:style w:type="character" w:customStyle="1" w:styleId="Ttulo2Car">
    <w:name w:val="Título 2 Car"/>
    <w:basedOn w:val="Fuentedeprrafopredeter"/>
    <w:link w:val="Ttulo2"/>
    <w:rsid w:val="00882BD0"/>
    <w:rPr>
      <w:rFonts w:ascii="Times New Roman" w:eastAsia="Times New Roman" w:hAnsi="Times New Roman" w:cs="Times New Roman"/>
      <w:b/>
      <w:snapToGrid w:val="0"/>
      <w:color w:val="000000" w:themeColor="text1"/>
      <w:kern w:val="24"/>
      <w:lang w:val="es-ES"/>
    </w:rPr>
  </w:style>
  <w:style w:type="paragraph" w:styleId="Subttulo">
    <w:name w:val="Subtitle"/>
    <w:basedOn w:val="Normal"/>
    <w:next w:val="Normal"/>
    <w:link w:val="SubttuloCar"/>
    <w:uiPriority w:val="11"/>
    <w:qFormat/>
    <w:rsid w:val="00754C47"/>
    <w:pPr>
      <w:spacing w:before="120" w:after="120" w:line="480" w:lineRule="auto"/>
      <w:jc w:val="both"/>
    </w:pPr>
    <w:rPr>
      <w:rFonts w:ascii="Arial" w:eastAsiaTheme="minorEastAsia" w:hAnsi="Arial" w:cs="Arial"/>
      <w:b/>
      <w:sz w:val="24"/>
      <w:szCs w:val="20"/>
      <w:u w:val="single"/>
    </w:rPr>
  </w:style>
  <w:style w:type="character" w:customStyle="1" w:styleId="SubttuloCar">
    <w:name w:val="Subtítulo Car"/>
    <w:basedOn w:val="Fuentedeprrafopredeter"/>
    <w:link w:val="Subttulo"/>
    <w:uiPriority w:val="11"/>
    <w:rsid w:val="00754C47"/>
    <w:rPr>
      <w:rFonts w:ascii="Arial" w:eastAsiaTheme="minorEastAsia" w:hAnsi="Arial" w:cs="Arial"/>
      <w:b/>
      <w:sz w:val="24"/>
      <w:szCs w:val="20"/>
      <w:u w:val="single"/>
    </w:rPr>
  </w:style>
  <w:style w:type="paragraph" w:customStyle="1" w:styleId="Norma">
    <w:name w:val="Norma"/>
    <w:qFormat/>
    <w:rsid w:val="00AE5DE4"/>
    <w:pPr>
      <w:spacing w:after="200" w:line="276" w:lineRule="auto"/>
      <w:jc w:val="both"/>
    </w:pPr>
    <w:rPr>
      <w:rFonts w:ascii="Times New Roman" w:eastAsia="Times New Roman" w:hAnsi="Times New Roman" w:cs="Times New Roman"/>
      <w:lang w:eastAsia="es-BO"/>
    </w:rPr>
  </w:style>
  <w:style w:type="character" w:customStyle="1" w:styleId="Ttulo3Car">
    <w:name w:val="Título 3 Car"/>
    <w:basedOn w:val="Fuentedeprrafopredeter"/>
    <w:link w:val="Ttulo3"/>
    <w:rsid w:val="00882BD0"/>
    <w:rPr>
      <w:rFonts w:ascii="Times New Roman" w:eastAsia="Times New Roman" w:hAnsi="Times New Roman" w:cs="Times New Roman"/>
      <w:b/>
      <w:snapToGrid w:val="0"/>
      <w:kern w:val="24"/>
      <w:lang w:val="es-ES"/>
    </w:rPr>
  </w:style>
  <w:style w:type="character" w:customStyle="1" w:styleId="Ttulo4Car">
    <w:name w:val="Título 4 Car"/>
    <w:basedOn w:val="Fuentedeprrafopredeter"/>
    <w:link w:val="Ttulo4"/>
    <w:rsid w:val="00882BD0"/>
    <w:rPr>
      <w:rFonts w:ascii="Arial" w:eastAsia="Times New Roman" w:hAnsi="Arial" w:cs="Times New Roman"/>
      <w:b/>
      <w:snapToGrid w:val="0"/>
      <w:sz w:val="24"/>
      <w:szCs w:val="20"/>
      <w:lang w:val="es-ES"/>
    </w:rPr>
  </w:style>
  <w:style w:type="character" w:customStyle="1" w:styleId="Ttulo5Car">
    <w:name w:val="Título 5 Car"/>
    <w:basedOn w:val="Fuentedeprrafopredeter"/>
    <w:link w:val="Ttulo5"/>
    <w:rsid w:val="00801818"/>
    <w:rPr>
      <w:rFonts w:ascii="Arial" w:eastAsia="Times New Roman" w:hAnsi="Arial" w:cs="Times New Roman"/>
      <w:snapToGrid w:val="0"/>
      <w:szCs w:val="20"/>
      <w:lang w:val="es-ES"/>
    </w:rPr>
  </w:style>
  <w:style w:type="character" w:customStyle="1" w:styleId="Ttulo6Car">
    <w:name w:val="Título 6 Car"/>
    <w:basedOn w:val="Fuentedeprrafopredeter"/>
    <w:link w:val="Ttulo6"/>
    <w:rsid w:val="00801818"/>
    <w:rPr>
      <w:rFonts w:ascii="Times New Roman" w:eastAsia="Times New Roman" w:hAnsi="Times New Roman" w:cs="Times New Roman"/>
      <w:i/>
      <w:snapToGrid w:val="0"/>
      <w:szCs w:val="20"/>
      <w:lang w:val="es-ES"/>
    </w:rPr>
  </w:style>
  <w:style w:type="character" w:customStyle="1" w:styleId="Ttulo7Car">
    <w:name w:val="Título 7 Car"/>
    <w:basedOn w:val="Fuentedeprrafopredeter"/>
    <w:link w:val="Ttulo7"/>
    <w:rsid w:val="00801818"/>
    <w:rPr>
      <w:rFonts w:ascii="Arial" w:eastAsia="Times New Roman" w:hAnsi="Arial" w:cs="Times New Roman"/>
      <w:snapToGrid w:val="0"/>
      <w:sz w:val="20"/>
      <w:szCs w:val="20"/>
      <w:lang w:val="es-ES"/>
    </w:rPr>
  </w:style>
  <w:style w:type="character" w:customStyle="1" w:styleId="Ttulo8Car">
    <w:name w:val="Título 8 Car"/>
    <w:basedOn w:val="Fuentedeprrafopredeter"/>
    <w:link w:val="Ttulo8"/>
    <w:rsid w:val="00801818"/>
    <w:rPr>
      <w:rFonts w:ascii="Times New Roman" w:eastAsia="Times New Roman" w:hAnsi="Times New Roman" w:cs="Times New Roman"/>
      <w:b/>
      <w:sz w:val="24"/>
      <w:szCs w:val="20"/>
      <w:lang w:val="es-ES"/>
    </w:rPr>
  </w:style>
  <w:style w:type="character" w:customStyle="1" w:styleId="Ttulo9Car">
    <w:name w:val="Título 9 Car"/>
    <w:basedOn w:val="Fuentedeprrafopredeter"/>
    <w:link w:val="Ttulo9"/>
    <w:rsid w:val="00801818"/>
    <w:rPr>
      <w:rFonts w:ascii="Times New Roman" w:eastAsia="Times New Roman" w:hAnsi="Times New Roman" w:cs="Times New Roman"/>
      <w:b/>
      <w:sz w:val="28"/>
      <w:szCs w:val="20"/>
      <w:lang w:val="es-ES"/>
    </w:rPr>
  </w:style>
  <w:style w:type="paragraph" w:styleId="Encabezado">
    <w:name w:val="header"/>
    <w:basedOn w:val="Normal"/>
    <w:link w:val="EncabezadoCar"/>
    <w:unhideWhenUsed/>
    <w:rsid w:val="00AE5DE4"/>
    <w:pPr>
      <w:tabs>
        <w:tab w:val="center" w:pos="4419"/>
        <w:tab w:val="right" w:pos="8838"/>
      </w:tabs>
      <w:spacing w:after="0" w:line="240" w:lineRule="auto"/>
    </w:pPr>
  </w:style>
  <w:style w:type="character" w:customStyle="1" w:styleId="EncabezadoCar">
    <w:name w:val="Encabezado Car"/>
    <w:basedOn w:val="Fuentedeprrafopredeter"/>
    <w:link w:val="Encabezado"/>
    <w:rsid w:val="00AE5DE4"/>
  </w:style>
  <w:style w:type="paragraph" w:styleId="Piedepgina">
    <w:name w:val="footer"/>
    <w:basedOn w:val="Normal"/>
    <w:link w:val="PiedepginaCar"/>
    <w:uiPriority w:val="99"/>
    <w:unhideWhenUsed/>
    <w:rsid w:val="00AE5DE4"/>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AE5DE4"/>
  </w:style>
  <w:style w:type="character" w:styleId="Nmerodepgina">
    <w:name w:val="page number"/>
    <w:basedOn w:val="Fuentedeprrafopredeter"/>
    <w:rsid w:val="00AE5DE4"/>
  </w:style>
  <w:style w:type="paragraph" w:customStyle="1" w:styleId="Text">
    <w:name w:val="Text"/>
    <w:basedOn w:val="Normal"/>
    <w:rsid w:val="00AE5DE4"/>
    <w:pPr>
      <w:spacing w:before="240" w:after="120" w:line="300" w:lineRule="exact"/>
      <w:jc w:val="both"/>
    </w:pPr>
    <w:rPr>
      <w:rFonts w:ascii="Arial" w:eastAsia="Times New Roman" w:hAnsi="Arial" w:cs="Times New Roman"/>
      <w:sz w:val="24"/>
      <w:szCs w:val="20"/>
      <w:lang w:eastAsia="es-ES"/>
    </w:rPr>
  </w:style>
  <w:style w:type="paragraph" w:styleId="Listaconvietas">
    <w:name w:val="List Bullet"/>
    <w:basedOn w:val="Normal"/>
    <w:autoRedefine/>
    <w:rsid w:val="00AE5DE4"/>
    <w:pPr>
      <w:widowControl w:val="0"/>
      <w:numPr>
        <w:numId w:val="15"/>
      </w:numPr>
      <w:spacing w:before="240" w:after="240" w:line="240" w:lineRule="auto"/>
      <w:jc w:val="both"/>
    </w:pPr>
    <w:rPr>
      <w:rFonts w:ascii="Times New Roman" w:eastAsia="Times New Roman" w:hAnsi="Times New Roman" w:cs="Times New Roman"/>
      <w:snapToGrid w:val="0"/>
      <w:szCs w:val="20"/>
      <w:lang w:val="es-ES"/>
    </w:rPr>
  </w:style>
  <w:style w:type="paragraph" w:customStyle="1" w:styleId="Default">
    <w:name w:val="Default"/>
    <w:link w:val="DefaultCar"/>
    <w:rsid w:val="00AE5DE4"/>
    <w:pPr>
      <w:autoSpaceDE w:val="0"/>
      <w:autoSpaceDN w:val="0"/>
      <w:adjustRightInd w:val="0"/>
      <w:spacing w:after="0" w:line="240" w:lineRule="auto"/>
    </w:pPr>
    <w:rPr>
      <w:rFonts w:ascii="Arial" w:hAnsi="Arial" w:cs="Arial"/>
      <w:color w:val="000000"/>
      <w:sz w:val="24"/>
      <w:szCs w:val="24"/>
    </w:rPr>
  </w:style>
  <w:style w:type="character" w:customStyle="1" w:styleId="DefaultCar">
    <w:name w:val="Default Car"/>
    <w:basedOn w:val="Fuentedeprrafopredeter"/>
    <w:link w:val="Default"/>
    <w:rsid w:val="00AE5DE4"/>
    <w:rPr>
      <w:rFonts w:ascii="Arial" w:hAnsi="Arial" w:cs="Arial"/>
      <w:color w:val="000000"/>
      <w:sz w:val="24"/>
      <w:szCs w:val="24"/>
    </w:rPr>
  </w:style>
  <w:style w:type="paragraph" w:styleId="Prrafodelista">
    <w:name w:val="List Paragraph"/>
    <w:aliases w:val="titulo 5,Párrafo de lista1,본문1"/>
    <w:basedOn w:val="Normal"/>
    <w:link w:val="PrrafodelistaCar"/>
    <w:uiPriority w:val="34"/>
    <w:qFormat/>
    <w:rsid w:val="00AE5DE4"/>
    <w:pPr>
      <w:spacing w:before="240" w:after="240" w:line="240" w:lineRule="auto"/>
      <w:ind w:left="720"/>
      <w:contextualSpacing/>
      <w:jc w:val="both"/>
    </w:pPr>
    <w:rPr>
      <w:rFonts w:ascii="Times New Roman" w:eastAsia="Times New Roman" w:hAnsi="Times New Roman" w:cs="Times New Roman"/>
      <w:szCs w:val="20"/>
    </w:rPr>
  </w:style>
  <w:style w:type="character" w:customStyle="1" w:styleId="PrrafodelistaCar">
    <w:name w:val="Párrafo de lista Car"/>
    <w:aliases w:val="titulo 5 Car,Párrafo de lista1 Car,본문1 Car"/>
    <w:link w:val="Prrafodelista"/>
    <w:uiPriority w:val="34"/>
    <w:rsid w:val="00AE5DE4"/>
    <w:rPr>
      <w:rFonts w:ascii="Times New Roman" w:eastAsia="Times New Roman" w:hAnsi="Times New Roman" w:cs="Times New Roman"/>
      <w:szCs w:val="20"/>
    </w:rPr>
  </w:style>
  <w:style w:type="paragraph" w:styleId="Sinespaciado">
    <w:name w:val="No Spacing"/>
    <w:link w:val="SinespaciadoCar"/>
    <w:uiPriority w:val="1"/>
    <w:qFormat/>
    <w:rsid w:val="00143EA8"/>
    <w:pPr>
      <w:spacing w:after="0" w:line="240" w:lineRule="auto"/>
    </w:pPr>
    <w:rPr>
      <w:rFonts w:eastAsiaTheme="minorEastAsia"/>
      <w:lang w:val="en-US"/>
    </w:rPr>
  </w:style>
  <w:style w:type="character" w:customStyle="1" w:styleId="SinespaciadoCar">
    <w:name w:val="Sin espaciado Car"/>
    <w:basedOn w:val="Fuentedeprrafopredeter"/>
    <w:link w:val="Sinespaciado"/>
    <w:uiPriority w:val="1"/>
    <w:rsid w:val="00143EA8"/>
    <w:rPr>
      <w:rFonts w:eastAsiaTheme="minorEastAsia"/>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CD3A31-13B2-444E-8DA0-72C3524D9C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183</TotalTime>
  <Pages>5</Pages>
  <Words>1191</Words>
  <Characters>6553</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YPFB Transporte S.A.</Company>
  <LinksUpToDate>false</LinksUpToDate>
  <CharactersWithSpaces>7729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Alejandro Palacios</dc:creator>
  <cp:keywords/>
  <dc:description/>
  <cp:lastModifiedBy>Tatiana Leaños</cp:lastModifiedBy>
  <cp:revision>4</cp:revision>
  <dcterms:created xsi:type="dcterms:W3CDTF">2024-04-19T14:50:00Z</dcterms:created>
  <dcterms:modified xsi:type="dcterms:W3CDTF">2024-05-03T18:47:00Z</dcterms:modified>
</cp:coreProperties>
</file>